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4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เอกสารแนบ ๖</w:t>
      </w:r>
    </w:p>
    <w:p>
      <w:pPr>
        <w:spacing w:before="0" w:after="4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36"/>
          <w:szCs w:val="36"/>
          <w:bCs/>
        </w:rPr>
        <w:t>รายงานการศึกษาส่วนบุคคล (Individual Study : IS)</w:t>
      </w:r>
    </w:p>
    <w:p>
      <w:pPr>
        <w:spacing w:before="0" w:after="36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color w:val="B87A00"/>
          <w:sz w:val="30"/>
          <w:szCs w:val="30"/>
        </w:rPr>
        <w:t>ฉบับสรุปเชิงวิชาการ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48"/>
          <w:szCs w:val="48"/>
          <w:bCs/>
        </w:rPr>
        <w:t>แนวทางการประยุกต์ใช้เทคโนโลยีปัญญาประดิษฐ์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48"/>
          <w:szCs w:val="48"/>
          <w:bCs/>
        </w:rPr>
        <w:t>ในงานวิศวกรรมจราจรของกรมทางหลวง</w:t>
      </w:r>
    </w:p>
    <w:p>
      <w:pPr>
        <w:spacing w:before="0" w:after="12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36"/>
          <w:szCs w:val="36"/>
          <w:bCs/>
        </w:rPr>
        <w:t>เพื่อยกระดับการบริหารจัดการจราจรอย่างมีประสิทธิภาพและบูรณาการในทุกมิติ</w:t>
      </w:r>
    </w:p>
    <w:p>
      <w:pPr>
        <w:spacing w:before="0" w:after="520" w:line="276" w:lineRule="auto"/>
        <w:jc w:val="center"/>
      </w:pPr>
      <w:r>
        <w:rPr>
          <w:rFonts w:ascii="TH Sarabun New" w:hAnsi="TH Sarabun New" w:cs="TH Sarabun New" w:eastAsia="TH Sarabun New"/>
          <w:b w:val="0"/>
          <w:i/>
          <w:color w:val="B87A00"/>
          <w:sz w:val="30"/>
          <w:szCs w:val="30"/>
        </w:rPr>
        <w:t>Application of Artificial Intelligence in Traffic Engineering for Integrated and Efficient Traffic Management of the Department of Highways</w:t>
      </w:r>
    </w:p>
    <w:p>
      <w:pPr>
        <w:spacing w:before="0" w:after="360" w:line="276" w:lineRule="auto"/>
        <w:jc w:val="both"/>
        <w:pBdr>
          <w:bottom w:val="single" w:sz="12" w:space="1" w:color="FFB300"/>
        </w:pBdr>
      </w:pPr>
    </w:p>
    <w:p>
      <w:pPr>
        <w:spacing w:before="0" w:after="4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เสนอโดย</w:t>
      </w:r>
    </w:p>
    <w:p>
      <w:pPr>
        <w:spacing w:before="0" w:after="4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color w:val="0B1E3F"/>
          <w:sz w:val="36"/>
          <w:szCs w:val="36"/>
          <w:bCs/>
        </w:rPr>
        <w:t>นายพิชากร  ศรีจันทร์ทอง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ผู้อำนวยการแขวงทางหลวงสมุทรปราการ</w:t>
      </w:r>
    </w:p>
    <w:p>
      <w:pPr>
        <w:spacing w:before="0" w:after="48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สำนักงานทางหลวงที่ ๑๓ (กรุงเทพ)  กรมทางหลวง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ประกอบการสมัครเข้ารับการฝึกอบรม</w:t>
      </w:r>
    </w:p>
    <w:p>
      <w:pPr>
        <w:spacing w:before="0" w:after="40" w:line="276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  <w:bCs/>
        </w:rPr>
        <w:t>หลักสูตรนักบริหารระดับสูงกระทรวงคมนาคม (นบส.คค.) รุ่นที่ ๘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 w:val="0"/>
          <w:i w:val="0"/>
          <w:color w:val="B87A00"/>
          <w:sz w:val="30"/>
          <w:szCs w:val="30"/>
        </w:rPr>
        <w:t>สำนักงานปลัดกระทรวงคมนาคม</w:t>
      </w:r>
    </w:p>
    <w:p>
      <w:pPr>
        <w:spacing w:before="0" w:after="0" w:line="276" w:lineRule="auto"/>
        <w:jc w:val="center"/>
      </w:pPr>
      <w:r>
        <w:rPr>
          <w:rFonts w:ascii="TH Sarabun New" w:hAnsi="TH Sarabun New" w:cs="TH Sarabun New" w:eastAsia="TH Sarabun New"/>
          <w:b w:val="0"/>
          <w:i/>
          <w:color w:val="B87A00"/>
          <w:sz w:val="26"/>
          <w:szCs w:val="26"/>
        </w:rPr>
        <w:t>ลิขสิทธิ์ของกระทรวงคมนาคม</w:t>
      </w:r>
    </w:p>
    <w:p>
      <w:r>
        <w:br w:type="page"/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บทคัดย่อ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รายงานฉบับนี้นำเสนอแนวทางการประยุกต์ใช้เทคโนโลยีปัญญาประดิษฐ์ (Artificial Intelligence) ในงานวิศวกรรมจราจรของกรมทางหลวง โดยมุ่งเน้นการบริหารจัดการทางแยกบนโครงข่ายทางหลวงทั่วประเทศ ซึ่งเป็นจุดที่เกิดอุบัติเหตุและความล่าช้าของการจราจรในสัดส่วนสูง การศึกษาเสนอ “กรอบแนวคิดจราจรอัจฉริยะ ๔ มิติ” ที่กำหนดให้ทุกการปรับปรุงทางแยกต้องดีขึ้นพร้อมกันทุกมิติ ได้แก่ (๑) ความคล่องตัว (๒) ความปลอดภัย (๓) ความเป็นมิตรกับสิ่งแวดล้อม และ (๔) การอยู่ร่วมกับประชาชน โดยใช้เครื่องมือมาตรฐานสากลที่ตรวจสอบได้ ได้แก่ PTV VISSIM, FHWA SSAM และ EPA MOVES ร่วมกับการวิเคราะห์การตัดสินใจแบบหลายเกณฑ์ (Multi-Criteria Decision Analysis)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ข้อเสนอเชิงนโยบายประกอบด้วย ๕ เสาหลัก ได้แก่ การพัฒนาบุคลากร การปรับกระบวนงานออกแบบทางแยก การพัฒนาแพลตฟอร์มและข้อมูล การสร้างพันธมิตรทางวิชาการ และการวางกรอบธรรมาภิบาลและความปลอดภัย พร้อมแผนการนำไปสู่การปฏิบัติ ๓ ระยะตลอด ๕ ปี และกรอบประมาณการงบประมาณเชิงทิศทางประมาณ ๑,๒๐๐ ล้านบาท (ค่ากลาง) ทั้งนี้ภายใต้หลักการสำคัญที่ว่า “เทคโนโลยีเป็นเพียงเครื่องมือ ปลายทางที่แท้จริงคือประโยชน์สุขของประชาชนผู้ใช้ทาง” และยึดหลัก “วิศวกรเป็นผู้รับผิดชอบสุดท้าย” ในการตัดสินใจทางวิศวกรรม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สารบัญ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บทคัดย่อ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2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๑  บทนำ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4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๑.๑  ตำแหน่งเป้าหมายและขอบเขตความรับผิดชอบ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4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๑.๒  ที่มาและความสำคัญ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4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๑.๓  ประเด็นและวัตถุประสงค์ของการศึกษา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4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๑.๔  ขอบเขตการศึกษา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4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๒  สภาพปัญหาและความสอดคล้องเชิงนโยบาย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5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๒.๑  สภาพปัญหาและความท้าทาย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5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๒.๒  ความสอดคล้องเชิงยุทธศาสตร์และนโยบาย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5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๓  กรอบแนวคิดและข้อเสนอเชิงนโยบาย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6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๓.๑  กรอบแนวคิด: AI สำหรับการแก้ปัญหาจราจรครบ ๔ มิติ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6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๓.๒  ข้อเสนอเชิงนโยบาย ๕ เสาหลัก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7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๔  แผนการนำไปสู่การปฏิบัติและกรอบงบประมาณ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7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๔.๑  แผนการนำนโยบายไปสู่การปฏิบัติ ๓ ระยะ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7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๔.๒  กรอบประมาณการงบประมาณเชิงทิศทาง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8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๔.๓  เงื่อนไขสำคัญทางกฎหมายและระเบียบที่ต้องปฏิบัติ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9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๕  ตัวอย่างการประยุกต์ใช้ (Use Case)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9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๖  ตัวชี้วัด การบริหารความเสี่ยง และผลที่คาดว่าจะได้รับ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10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๖.๑  ตัวชี้วัดความสำเร็จเชิงทิศทาง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10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๖.๒  การบริหารความเสี่ยงและการบริหารการเปลี่ยนแปลง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10</w:t>
      </w:r>
    </w:p>
    <w:p>
      <w:pPr>
        <w:tabs>
          <w:tab w:pos="9072" w:val="right" w:leader="dot"/>
        </w:tabs>
        <w:spacing w:after="80" w:line="288" w:lineRule="auto"/>
        <w:ind w:left="576"/>
      </w:pP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>๖.๓  ผลที่คาดว่าจะได้รับ</w:t>
      </w:r>
      <w:r>
        <w:rPr>
          <w:rFonts w:ascii="TH Sarabun New" w:hAnsi="TH Sarabun New" w:cs="TH Sarabun New" w:eastAsia="TH Sarabun New"/>
          <w:b w:val="0"/>
          <w:i w:val="0"/>
          <w:color w:val="404A57"/>
          <w:sz w:val="32"/>
          <w:szCs w:val="32"/>
        </w:rPr>
        <w:tab/>
        <w:t>11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บทที่ ๗  บทสรุปและข้อเสนอแนะ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11</w:t>
      </w:r>
    </w:p>
    <w:p>
      <w:pPr>
        <w:tabs>
          <w:tab w:pos="9072" w:val="right" w:leader="dot"/>
        </w:tabs>
        <w:spacing w:after="80" w:line="288" w:lineRule="auto"/>
        <w:ind w:left="0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>บรรณานุกรม</w:t>
      </w: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ab/>
        <w:t>11</w:t>
      </w:r>
    </w:p>
    <w:p>
      <w:r>
        <w:br w:type="page"/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๑  บทนำ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๑.๑  ตำแหน่งเป้าหมายและขอบเขตความรับผิดชอบ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ตำแหน่งเป้าหมายของผู้เสนอคือ รองอธิบดีกรมทางหลวง ซึ่งเป็นผู้บริหารระดับสูงที่มีหน้าที่ช่วยอธิบดี ในการกำหนดนโยบายและทิศทางการบริหารราชการของกรม ตามอำนาจหน้าที่ในพระราชบัญญัติทางหลวง พ.ศ. ๒๕๓๕ และกฎกระทรวงแบ่งส่วนราชการของกรมทางหลวง พ.ศ. ๒๕๖๐ ครอบคลุมการกำกับดูแลงานวิศวกรรมจราจร การออกแบบและบริหารทางแยกบนทางหลวงทั่วประเทศ การยกระดับความปลอดภัยทางถนนตามกรอบทศวรรษแห่งความปลอดภัย ทางถนน พ.ศ. ๒๕๖๔–๒๕๗๓ ขององค์การสหประชาชาติ และการนำเทคโนโลยีดิจิทัลและปัญญาประดิษฐ์มาประยุกต์ใช้ โดยทำงานร่วมกับสำนักอำนวยความปลอดภัย สำนักวิจัยและพัฒนางานทาง สำนักงานทางหลวงในส่วนภูมิภาค และศูนย์เทคโนโลยีสารสนเทศของกรม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๑.๒  ที่มาและความสำคัญ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ปัญหาจราจรบนโครงข่ายทางหลวง โดยเฉพาะที่ทางแยก เป็นปัญหาเชิงระบบที่ส่งผลกระทบต่อประชาชนในวงกว้าง ทั้งด้านความสะดวก ความปลอดภัย สิ่งแวดล้อม และคุณภาพชีวิต งานวิจัยระหว่างประเทศชี้ว่ามากกว่าร้อยละ ๕๐ ของอุบัติเหตุทางถนนเกิดขึ้นที่ทางแยก ขณะที่ประเทศไทยมีอัตราการเสียชีวิตจากอุบัติเหตุทางถนนสูงประมาณ ๒๕.๔ คนต่อประชากรหนึ่งแสนคน หรือราว ๑๘,๐๐๐ คนต่อปี การนำปัญญาประดิษฐ์มาประยุกต์ใช้อย่างเป็นระบบ จึงเป็นโอกาสสำคัญในการยกระดับการบริหารจัดการจราจรของกรมให้ตอบโจทย์ประชาชนได้ครบทุกมิติ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๑.๓  ประเด็นและวัตถุประสงค์ของการศึกษา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ศึกษาแนวทางการประยุกต์ปัญญาประดิษฐ์ในงานวิศวกรรมจราจรของกรมทางหลวง โดยเฉพาะการบริหารจัดการทางแยก บนทางหลวงทั่วประเทศ เพื่อแก้ไขปัญหาจราจรอย่างครบ ๔ มิติ ได้แก่ ความคล่องตัวของการจราจร ความปลอดภัยของผู้ใช้ทาง ความเป็นมิตรกับสิ่งแวดล้อม และการอยู่ร่วมกับชุมชนและประชาชน โดยใช้กรอบมาตรฐานสากลในการประเมินผล และต่อยอดเครื่องมือทางวิศวกรรมจราจรที่กรมและภาควิชาการใช้อยู่ในปัจจุบัน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๑.๔  ขอบเขตการศึกษา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การศึกษานี้เป็นข้อเสนอเชิงนโยบายในกรอบอำนาจหน้าที่ของผู้บริหารระดับสูง มุ่งเน้นการบริหารจัดการทางแยก บนทางหลวงในความรับผิดชอบของกรม และการประยุกต์เครื่องมือมาตรฐานสากล ได้แก่ PTV VISSIM (Microscopic Traffic Simulation), FHWA SSAM (Surrogate Safety Assessment Model) และ EPA MOVES (Motor Vehicle Emission Simulator) เป็นกรอบในการประเมินและตัดสินใจ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๒  สภาพปัญหาและความสอดคล้องเชิงนโยบาย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๒.๑  สภาพปัญหาและความท้าทาย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ปัญหาจราจรที่ทางแยกบนโครงข่ายทางหลวงของกรมสามารถจำแนกได้เป็น ๕ ด้านหลัก ดังนี้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ความปลอดภัยที่ทางแยก — กว่าร้อยละ ๕๐ ของอุบัติเหตุทางถนนเกิดขึ้นที่ทางแยก ขณะที่กรอบทศวรรษแห่งความปลอดภัยทางถนนของ UN ตั้งเป้าลดผู้เสียชีวิตลงครึ่งหนึ่งภายในปี พ.ศ. ๒๕๗๓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ความคล่องตัวและประสิทธิภาพ — ทางแยกจำนวนมากยังใช้สัญญาณไฟแบบ Fixed-time หรือระบบ Two-way Stop Control (TWSC) ที่ให้บริการในระดับ LOS E–F ในชั่วโมงเร่งด่วน ขณะที่เทคโนโลยี Adaptive Traffic Control สามารถลดความล่าช้าได้ร้อยละ ๑๐–๔๐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ด้านสิ่งแวดล้อม — การจราจรติดขัดเพิ่มการปล่อยคาร์บอนและมลพิษ การใช้สัญญาณไฟอัจฉริยะสามารถลด CO₂ ได้ร้อยละ ๑๕–๔๐ และลดการสิ้นเปลืองเชื้อเพลิงได้ร้อยละ ๑๐–๑๕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การอยู่ร่วมกับประชาชน — ผู้ใช้ทางที่เปราะบาง (คนเดินเท้า มอเตอร์ไซค์ ผู้สูงอายุ) มีความเสี่ยงสูง โดยมอเตอร์ไซค์คิดเป็นราวร้อยละ ๘๔ ของผู้เสียชีวิตจากอุบัติเหตุทางถนนในประเทศไทย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การตัดสินใจที่ขาดข้อมูลเชิงระบบ — ยังขาดเครื่องมือประเมินผลเชิงปริมาณครบทุกมิติพร้อมกัน และขาดการจำลองสถานการณ์ก่อนการลงทุน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๒.๒  ความสอดคล้องเชิงยุทธศาสตร์และนโยบาย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ข้อเสนอนี้สอดคล้องกับยุทธศาสตร์และนโยบายในทุกระดับที่กำหนดไว้แล้ว ทั้งระดับชาติ ระดับกระทรวง และระดับกรม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ยุทธศาสตร์ชาติ ๒๐ ปี (พ.ศ. ๒๕๖๑–๒๕๘๐) ด้านการสร้างความสามารถในการแข่งขัน และการปรับสมดุลและพัฒนาระบบการบริหารจัดการภาครัฐ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แผนพัฒนาเศรษฐกิจและสังคมแห่งชาติ ฉบับที่ ๑๓ หมุดหมายที่ ๒ (โครงสร้างพื้นฐานคมนาคม) และหมุดหมายที่ ๑๓ (รัฐบาลที่ทันสมัย)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แผนพัฒนารัฐบาลดิจิทัลของประเทศไทย พ.ศ. ๒๕๖๖–๒๕๗๐ (DGA)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นโยบายกระทรวงคมนาคม “คมนาคมเพื่อโอกาสประเทศไทย” และนโยบายเร่งด่วนของรัฐบาล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แผนปฏิบัติราชการกรมทางหลวง พ.ศ. ๒๕๖๖–๒๕๗๐ และแผนปฏิบัติการดิจิทัลกรมทางหลวง พ.ศ. ๒๕๖๖–๒๕๗๐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แผนแม่บท MR-MAP ระยะ ๒๐ ปี และกรอบทศวรรษแห่งความปลอดภัยทางถนน พ.ศ. ๒๕๖๔–๒๕๗๓ ของ UN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พระราชบัญญัติคุ้มครองข้อมูลส่วนบุคคล และพระราชบัญญัติการรักษาความมั่นคงปลอดภัยไซเบอร์ พ.ศ. ๒๕๖๒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๓  กรอบแนวคิดและข้อเสนอเชิงนโยบาย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๓.๑  กรอบแนวคิด: AI สำหรับการแก้ปัญหาจราจรครบ ๔ มิติ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ผู้เสนอได้สังเคราะห์กรอบแนวคิดการประยุกต์ปัญญาประดิษฐ์กับงานวิศวกรรมจราจร โดยจัดวางเป็น ๔ มิติ ของจราจรที่มีประสิทธิภาพ ที่กรมจะดำเนินการพร้อมกันในทุกการปรับปรุงทางแยก หลักการสำคัญคือ ทุกการปรับปรุงทางแยกต้อง “ดีกว่าทุกมิติพร้อมกัน” โดยใช้ AI ประเมินทางเลือกอย่างเป็นวิทยาศาสตร์ และต้องผ่านการจำลองสถานการณ์ก่อนการลงทุนจริง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3009"/>
        <w:gridCol w:w="3009"/>
        <w:gridCol w:w="3009"/>
      </w:tblGrid>
      <w:tr>
        <w:tc>
          <w:tcPr>
            <w:tcW w:type="dxa" w:w="1800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มิติ</w:t>
            </w:r>
          </w:p>
        </w:tc>
        <w:tc>
          <w:tcPr>
            <w:tcW w:type="dxa" w:w="4104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เทคโนโลยี AI / เครื่องมือสนับสนุน</w:t>
            </w:r>
          </w:p>
        </w:tc>
        <w:tc>
          <w:tcPr>
            <w:tcW w:type="dxa" w:w="3168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ตัวชี้วัดประจำมิติ</w:t>
            </w:r>
          </w:p>
        </w:tc>
      </w:tr>
      <w:tr>
        <w:tc>
          <w:tcPr>
            <w:tcW w:type="dxa" w:w="18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๑. ความคล่องตัว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(Efficiency)</w:t>
            </w:r>
          </w:p>
        </w:tc>
        <w:tc>
          <w:tcPr>
            <w:tcW w:type="dxa" w:w="410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Adaptive Traffic Control · Deep Reinforcement Learning · PTV VISSIM · พยากรณ์ปริมาณจราจรช่วงเทศกาล</w:t>
            </w:r>
          </w:p>
        </w:tc>
        <w:tc>
          <w:tcPr>
            <w:tcW w:type="dxa" w:w="316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LOS · Delay (วินาที/คัน) · v/c Ratio · เวลาเดินทางเฉลี่ย</w:t>
            </w:r>
          </w:p>
        </w:tc>
      </w:tr>
      <w:tr>
        <w:tc>
          <w:tcPr>
            <w:tcW w:type="dxa" w:w="18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๒. ความปลอดภัย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(Safety)</w:t>
            </w:r>
          </w:p>
        </w:tc>
        <w:tc>
          <w:tcPr>
            <w:tcW w:type="dxa" w:w="410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Computer Vision ตรวจจับจุดขัดแย้งและผู้ใช้ทางเปราะบาง · Surrogate Safety Measures · FHWA SSAM</w:t>
            </w:r>
          </w:p>
        </w:tc>
        <w:tc>
          <w:tcPr>
            <w:tcW w:type="dxa" w:w="316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จำนวนจุดขัดแย้ง · อัตราอุบัติเหตุ · TTC · PET · เป้า UN ลดผู้เสียชีวิตครึ่งหนึ่ง ปี ๒๕๗๓</w:t>
            </w:r>
          </w:p>
        </w:tc>
      </w:tr>
      <w:tr>
        <w:tc>
          <w:tcPr>
            <w:tcW w:type="dxa" w:w="18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๓. สิ่งแวดล้อม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(Environmental)</w:t>
            </w:r>
          </w:p>
        </w:tc>
        <w:tc>
          <w:tcPr>
            <w:tcW w:type="dxa" w:w="410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EPA MOVES · Eco-Adaptive Signal · ลดการเร่ง-เบรกซ้ำที่ทางแยก · ประเมินคาร์บอนตลอดวงจรชีวิต</w:t>
            </w:r>
          </w:p>
        </w:tc>
        <w:tc>
          <w:tcPr>
            <w:tcW w:type="dxa" w:w="316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CO₂ (กก./วัน) · การสิ้นเปลืองเชื้อเพลิง · NOx, PM · ดัชนีความยั่งยืน</w:t>
            </w:r>
          </w:p>
        </w:tc>
      </w:tr>
      <w:tr>
        <w:tc>
          <w:tcPr>
            <w:tcW w:type="dxa" w:w="18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๔. ประชาชน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(Community)</w:t>
            </w:r>
          </w:p>
        </w:tc>
        <w:tc>
          <w:tcPr>
            <w:tcW w:type="dxa" w:w="410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ออกแบบทางแยกคำนึงผู้ใช้ทางเปราะบาง · การมีส่วนร่วมผ่านสายด่วน ๑๕๘๖ · NLP วิเคราะห์ข้อร้องเรียน</w:t>
            </w:r>
          </w:p>
        </w:tc>
        <w:tc>
          <w:tcPr>
            <w:tcW w:type="dxa" w:w="316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ความพึงพอใจชุมชน · ความปลอดภัยคนเดินเท้า/มอเตอร์ไซค์ · จำนวนข้อร้องเรียน · คะแนนการมีส่วนร่วม</w:t>
            </w:r>
          </w:p>
        </w:tc>
      </w:tr>
    </w:tbl>
    <w:p>
      <w:pPr>
        <w:spacing w:after="80"/>
      </w:pP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๓.๒  ข้อเสนอเชิงนโยบาย ๕ เสาหลัก</w:t>
      </w:r>
    </w:p>
    <w:p>
      <w:pPr>
        <w:spacing w:after="120" w:line="276" w:lineRule="auto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 xml:space="preserve">เสาที่ ๑ · บุคลากรวิศวกรรมจราจร —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พัฒนาขีดความสามารถของวิศวกรจราจรของกรมในการใช้ PTV VISSIM, FHWA SSAM และ EPA MOVES ผ่านสถาบันพัฒนาบุคลากรกรมทางหลวงและความร่วมมือกับสถาบันการศึกษา</w:t>
      </w:r>
    </w:p>
    <w:p>
      <w:pPr>
        <w:spacing w:after="120" w:line="276" w:lineRule="auto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 xml:space="preserve">เสาที่ ๒ · กระบวนงานออกแบบทางแยก —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กำหนดให้ทุกโครงการปรับปรุงทางแยกต้องผ่านการประเมินครบ ๔ มิติ (MCDA) และจำลองสถานการณ์ด้วยเครื่องมือมาตรฐานก่อนการลงทุน</w:t>
      </w:r>
    </w:p>
    <w:p>
      <w:pPr>
        <w:spacing w:after="120" w:line="276" w:lineRule="auto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 xml:space="preserve">เสาที่ ๓ · แพลตฟอร์มและข้อมูล —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พัฒนาคลังข้อมูลจราจรของกรมจากระบบที่มีอยู่ (Roadnet, สำนักอำนวยความปลอดภัย, การสำรวจปริมาณจราจร) ผนวกข้อมูลสายด่วน ๑๕๘๖ และแอป Highway Traffic เพื่อสนับสนุนการตัดสินใจ</w:t>
      </w:r>
    </w:p>
    <w:p>
      <w:pPr>
        <w:spacing w:after="120" w:line="276" w:lineRule="auto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 xml:space="preserve">เสาที่ ๔ · พันธมิตรทางวิชาการ —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สร้างความร่วมมือกับ สวทช., NECTEC, สถาบันการศึกษา และองค์กรชั้นนำระดับโลก เช่น U.S. FHWA และ Transport for London</w:t>
      </w:r>
    </w:p>
    <w:p>
      <w:pPr>
        <w:spacing w:after="120" w:line="276" w:lineRule="auto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2"/>
          <w:szCs w:val="32"/>
          <w:bCs/>
        </w:rPr>
        <w:t xml:space="preserve">เสาที่ ๕ · ธรรมาภิบาลและความปลอดภัย —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จัดทำกรอบธรรมาภิบาล AI สอดคล้อง PDPA และ พ.ร.บ. ไซเบอร์ฯ พ.ศ. ๒๕๖๒ ยึดหลัก “วิศวกรเป็นผู้รับผิดชอบสุดท้าย” โดย AI เป็นเพียงเครื่องมือสนับสนุน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๔  แผนการนำไปสู่การปฏิบัติและกรอบงบประมาณ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๔.๑  แผนการนำนโยบายไปสู่การปฏิบัติ ๓ ระยะ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3009"/>
        <w:gridCol w:w="3009"/>
        <w:gridCol w:w="3009"/>
      </w:tblGrid>
      <w:tr>
        <w:tc>
          <w:tcPr>
            <w:tcW w:type="dxa" w:w="1872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ระยะ</w:t>
            </w:r>
          </w:p>
        </w:tc>
        <w:tc>
          <w:tcPr>
            <w:tcW w:type="dxa" w:w="1440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ช่วงเวลา</w:t>
            </w:r>
          </w:p>
        </w:tc>
        <w:tc>
          <w:tcPr>
            <w:tcW w:type="dxa" w:w="5760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กิจกรรมหลักและหน่วยงานเจ้าภาพภายในกรม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๑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วางฐานราก</w:t>
            </w:r>
          </w:p>
        </w:tc>
        <w:tc>
          <w:tcPr>
            <w:tcW w:type="dxa" w:w="144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๐–๖ เดือน</w:t>
            </w:r>
          </w:p>
        </w:tc>
        <w:tc>
          <w:tcPr>
            <w:tcW w:type="dxa" w:w="576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จัดตั้งคณะทำงาน AI วิศวกรรมจราจร · กำหนดทางแยกวิกฤตจากข้อมูลอุบัติเหตุและสายด่วน ๑๕๘๖ · อบรม PTV VISSIM, FHWA SSAM, EPA MOVES ให้วิศวกรของกรม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๒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นำร่องและขยายผล</w:t>
            </w:r>
          </w:p>
        </w:tc>
        <w:tc>
          <w:tcPr>
            <w:tcW w:type="dxa" w:w="144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๖–๒๔ เดือน</w:t>
            </w:r>
          </w:p>
        </w:tc>
        <w:tc>
          <w:tcPr>
            <w:tcW w:type="dxa" w:w="576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ปรับปรุงทางแยกวิกฤต ๑๐–๒๐ แห่งด้วยกรอบ ๔ มิติ · นำร่อง Adaptive Traffic Control · นำร่อง Computer Vision บนทางหลวงพิเศษ M6/M81 · ติดตาม Before-After Study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๓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เป็นต้นแบบและยั่งยืน</w:t>
            </w:r>
          </w:p>
        </w:tc>
        <w:tc>
          <w:tcPr>
            <w:tcW w:type="dxa" w:w="144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๒๔–๖๐ เดือน</w:t>
            </w:r>
          </w:p>
        </w:tc>
        <w:tc>
          <w:tcPr>
            <w:tcW w:type="dxa" w:w="576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ขยาย ATC สู่ทางหลวงสายหลักทั่วประเทศ · พัฒนา Traffic Digital Twin · บูรณาการข้อมูลกับตำรวจจราจรและ กทม. · สร้างมาตรฐานการประเมินทางแยก ๔ มิติของกรม</w:t>
            </w:r>
          </w:p>
        </w:tc>
      </w:tr>
    </w:tbl>
    <w:p>
      <w:pPr>
        <w:spacing w:after="80"/>
      </w:pP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๔.๒  กรอบประมาณการงบประมาณเชิงทิศทาง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3009"/>
        <w:gridCol w:w="3009"/>
        <w:gridCol w:w="3009"/>
      </w:tblGrid>
      <w:tr>
        <w:tc>
          <w:tcPr>
            <w:tcW w:type="dxa" w:w="1944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ระยะ</w:t>
            </w:r>
          </w:p>
        </w:tc>
        <w:tc>
          <w:tcPr>
            <w:tcW w:type="dxa" w:w="2664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ประมาณการงบประมาณ</w:t>
            </w:r>
          </w:p>
        </w:tc>
        <w:tc>
          <w:tcPr>
            <w:tcW w:type="dxa" w:w="4464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ขอบเขตหลัก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๑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(๐–๖ เดือน)</w:t>
            </w:r>
          </w:p>
        </w:tc>
        <w:tc>
          <w:tcPr>
            <w:tcW w:type="dxa" w:w="26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~๓.๓–๖.๐ ล้านบาท</w:t>
            </w:r>
          </w:p>
        </w:tc>
        <w:tc>
          <w:tcPr>
            <w:tcW w:type="dxa" w:w="44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ตั้งคณะทำงาน สำรวจข้อมูล ฝึกอบรม และจัดทำกรอบธรรมาภิบาล AI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๒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(๖–๒๔ เดือน)</w:t>
            </w:r>
          </w:p>
        </w:tc>
        <w:tc>
          <w:tcPr>
            <w:tcW w:type="dxa" w:w="26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~๑๓๐–๔๖๓ ล้านบาท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(ค่ากลาง ~๒๘๐ ลบ.)</w:t>
            </w:r>
          </w:p>
        </w:tc>
        <w:tc>
          <w:tcPr>
            <w:tcW w:type="dxa" w:w="44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ปรับปรุงทางแยกนำร่อง ๑๐–๒๐ แห่ง ระบบ Adaptive Signal และ Computer Vision รวมงานโยธา ไฟฟ้า สื่อสาร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ระยะที่ ๓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(๒๔–๖๐ เดือน)</w:t>
            </w:r>
          </w:p>
        </w:tc>
        <w:tc>
          <w:tcPr>
            <w:tcW w:type="dxa" w:w="26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~๔๘๕–๑,๔๒๐ ล้านบาท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(ค่ากลาง ~๘๐๐ ลบ.)</w:t>
            </w:r>
          </w:p>
        </w:tc>
        <w:tc>
          <w:tcPr>
            <w:tcW w:type="dxa" w:w="44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ขยาย ATC ทั่วประเทศ ศึกษา Digital Twin บูรณาการระหว่างหน่วยงาน รวม DPIA และตรวจความมั่นคงปลอดภัยไซเบอร์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รวม ๕ ปี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(ค่ากลางที่แนะนำ)</w:t>
            </w:r>
          </w:p>
        </w:tc>
        <w:tc>
          <w:tcPr>
            <w:tcW w:type="dxa" w:w="26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~๑,๒๐๐ ล้านบาท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(รวม VAT ๗% และ</w:t>
            </w:r>
          </w:p>
          <w:p>
            <w:pPr>
              <w:spacing w:after="20" w:before="20" w:line="240" w:lineRule="auto"/>
              <w:jc w:val="left"/>
            </w:pPr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Contingency ๑๐–๑๕%)</w:t>
            </w:r>
          </w:p>
        </w:tc>
        <w:tc>
          <w:tcPr>
            <w:tcW w:type="dxa" w:w="446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คิดเป็น ~ร้อยละ ๐.๒๔ ของงบประมาณกรม ๕ ปี (~๕๐๐,๐๐๐ ลบ.) และ ~ร้อยละ ๐.๒๐ ของแผนแม่บท MR-MAP ระยะ ๕ ปี</w:t>
            </w:r>
          </w:p>
        </w:tc>
      </w:tr>
    </w:tbl>
    <w:p>
      <w:pPr>
        <w:spacing w:after="80"/>
      </w:pP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/>
          <w:color w:val="B87A00"/>
          <w:sz w:val="29"/>
          <w:szCs w:val="29"/>
        </w:rPr>
        <w:t>หมายเหตุ: ตัวเลขข้างต้นเป็นการประมาณการเชิงทิศทางเพื่อประกอบการพิจารณาเชิงนโยบายเท่านั้น มิใช่งบประมาณที่ได้รับอนุมัติ การจัดสรรงบประมาณจริงต้องผ่านการศึกษาความเหมาะสมและขั้นตอนตามระเบียบ ของกรมทางหลวง กระทรวงคมนาคม สำนักงบประมาณ และคณะรัฐมนตรี โดยทยอยตั้งงบประมาณรายปีเฉลี่ยปีละ ประมาณ ๒๐๐–๓๐๐ ล้านบาท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๔.๓  เงื่อนไขสำคัญทางกฎหมายและระเบียบที่ต้องปฏิบัติ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3009"/>
        <w:gridCol w:w="3009"/>
        <w:gridCol w:w="3009"/>
      </w:tblGrid>
      <w:tr>
        <w:tc>
          <w:tcPr>
            <w:tcW w:type="dxa" w:w="2448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เงื่อนไข</w:t>
            </w:r>
          </w:p>
        </w:tc>
        <w:tc>
          <w:tcPr>
            <w:tcW w:type="dxa" w:w="3600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กรอบกฎหมาย/ระเบียบ</w:t>
            </w:r>
          </w:p>
        </w:tc>
        <w:tc>
          <w:tcPr>
            <w:tcW w:type="dxa" w:w="3024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ผลต่อการดำเนินการ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การขอตั้งงบประมาณ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พ.ร.บ. วิธีการงบประมาณ พ.ศ. ๒๕๖๑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ใช้เวลา ~๑๒–๑๘ เดือน ต้องบรรจุในแผนปฏิบัติราชการล่วงหน้า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การจัดซื้อจัดจ้าง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พ.ร.บ. การจัดซื้อจัดจ้างฯ พ.ศ. ๒๕๖๐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ดำเนินการแบบ e-Bidding / e-Market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คลาวด์ภาครัฐ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นโยบาย Government Cloud และข้อกำหนด DGA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กระทบการเลือกผู้ให้บริการ อาจเพิ่มค่าใช้จ่าย ~ร้อยละ ๑๐–๒๐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คุ้มครองข้อมูลส่วนบุคคล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PDPA พ.ศ. ๒๕๖๒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ต้องจัดทำ DPIA และแต่งตั้ง DPO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ความมั่นคงปลอดภัยไซเบอร์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พ.ร.บ. ไซเบอร์ฯ ๒๕๖๒ · ISO/IEC 27001 · NIST CSF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ตรวจประเมินการเจาะระบบทุก ๖–๑๒ เดือน</w:t>
            </w:r>
          </w:p>
        </w:tc>
      </w:tr>
      <w:tr>
        <w:tc>
          <w:tcPr>
            <w:tcW w:type="dxa" w:w="2448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การบูรณาการข้ามหน่วยงาน</w:t>
            </w:r>
          </w:p>
        </w:tc>
        <w:tc>
          <w:tcPr>
            <w:tcW w:type="dxa" w:w="3600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MOU กับ สตช., กทม. และหน่วยงานที่เกี่ยวข้อง</w:t>
            </w:r>
          </w:p>
        </w:tc>
        <w:tc>
          <w:tcPr>
            <w:tcW w:type="dxa" w:w="3024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ใช้เวลาเตรียมการ ~๓–๖ เดือน</w:t>
            </w:r>
          </w:p>
        </w:tc>
      </w:tr>
    </w:tbl>
    <w:p>
      <w:pPr>
        <w:spacing w:after="80"/>
      </w:pP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๕  ตัวอย่างการประยุกต์ใช้ (Use Case)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เพื่อแสดงความเป็นไปได้เชิงปฏิบัติ ผู้เสนออ้างอิงการศึกษาวิเคราะห์ทางแยกในรูปแบบ Digital Twin Traffic Intersection Analysis ที่ข้าราชการของกรมทางหลวงได้ดำเนินการและเผยแพร่สู่สาธารณะ (https://raikluay-intersection.pages.dev) ซึ่งประกอบด้วยองค์ประกอบที่สอดคล้องกับกรอบ ๔ มิติ ได้แก่ การจำลองสภาพจราจรเชิงจุลภาค การประเมินความปลอดภัยด้วย SSAM การประมาณการปล่อยก๊าซด้วย MOVES การประเมินผลกระทบทางเศรษฐกิจและสังคม และการเปรียบเทียบทางเลือกด้วย MCDA</w:t>
      </w:r>
    </w:p>
    <w:p>
      <w:pPr>
        <w:spacing w:before="8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ตัวอย่างผลการศึกษาเชิงประกอบ (เปรียบเทียบสภาพปัจจุบันกับทางเลือกปรับปรุงสัญญาณไฟ ๒ จังหวะ) แสดงให้เห็นศักยภาพของการปรับปรุงที่ดีขึ้นพร้อมกันทุกมิติ ดังนี้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1728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มิติ</w:t>
            </w:r>
          </w:p>
        </w:tc>
        <w:tc>
          <w:tcPr>
            <w:tcW w:type="dxa" w:w="2736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สภาพปัจจุบัน (TWSC)</w:t>
            </w:r>
          </w:p>
        </w:tc>
        <w:tc>
          <w:tcPr>
            <w:tcW w:type="dxa" w:w="3312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ทางเลือกที่ปรับปรุง</w:t>
            </w:r>
          </w:p>
        </w:tc>
        <w:tc>
          <w:tcPr>
            <w:tcW w:type="dxa" w:w="1296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เปลี่ยนแปลง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คล่องตัว</w:t>
            </w:r>
          </w:p>
        </w:tc>
        <w:tc>
          <w:tcPr>
            <w:tcW w:type="dxa" w:w="273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LOS F · delay 78 วินาที</w:t>
            </w:r>
          </w:p>
        </w:tc>
        <w:tc>
          <w:tcPr>
            <w:tcW w:type="dxa" w:w="331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LOS C · delay 28 วินาที</w:t>
            </w:r>
          </w:p>
        </w:tc>
        <w:tc>
          <w:tcPr>
            <w:tcW w:type="dxa" w:w="129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−64%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ปลอดภัย</w:t>
            </w:r>
          </w:p>
        </w:tc>
        <w:tc>
          <w:tcPr>
            <w:tcW w:type="dxa" w:w="273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อุบัติเหตุ 9.4 ครั้ง/ปี</w:t>
            </w:r>
          </w:p>
        </w:tc>
        <w:tc>
          <w:tcPr>
            <w:tcW w:type="dxa" w:w="331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ลดเหลือ ~5.6 ครั้ง/ปี · จุดขัดแย้ง −75%</w:t>
            </w:r>
          </w:p>
        </w:tc>
        <w:tc>
          <w:tcPr>
            <w:tcW w:type="dxa" w:w="129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−60%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สิ่งแวดล้อม</w:t>
            </w:r>
          </w:p>
        </w:tc>
        <w:tc>
          <w:tcPr>
            <w:tcW w:type="dxa" w:w="273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CO₂ 240 กก./วัน</w:t>
            </w:r>
          </w:p>
        </w:tc>
        <w:tc>
          <w:tcPr>
            <w:tcW w:type="dxa" w:w="331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CO₂ 120 กก./วัน</w:t>
            </w:r>
          </w:p>
        </w:tc>
        <w:tc>
          <w:tcPr>
            <w:tcW w:type="dxa" w:w="129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−50%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เศรษฐกิจ</w:t>
            </w:r>
          </w:p>
        </w:tc>
        <w:tc>
          <w:tcPr>
            <w:tcW w:type="dxa" w:w="273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(ฐาน)</w:t>
            </w:r>
          </w:p>
        </w:tc>
        <w:tc>
          <w:tcPr>
            <w:tcW w:type="dxa" w:w="331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ประหยัด ~฿800,000/ปี</w:t>
            </w:r>
          </w:p>
        </w:tc>
        <w:tc>
          <w:tcPr>
            <w:tcW w:type="dxa" w:w="1296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+800k</w:t>
            </w:r>
          </w:p>
        </w:tc>
      </w:tr>
    </w:tbl>
    <w:p>
      <w:pPr>
        <w:spacing w:after="80"/>
      </w:pP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/>
          <w:color w:val="B87A00"/>
          <w:sz w:val="29"/>
          <w:szCs w:val="29"/>
        </w:rPr>
        <w:t>หมายเหตุ: ตัวเลขข้างต้นเป็นตัวอย่างเชิงประกอบเพื่อสื่อสารแนวคิด ผลลัพธ์จริงในแต่ละทางแยกย่อมแตกต่างกัน ตามบริบทพื้นที่ และต้องผ่านการศึกษาเฉพาะกรณีในรายละเอียดก่อนการดำเนินการจริง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๖  ตัวชี้วัด การบริหารความเสี่ยง และผลที่คาดว่าจะได้รับ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๖.๑  ตัวชี้วัดความสำเร็จเชิงทิศทาง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4D0"/>
          <w:left w:val="single" w:sz="4" w:space="0" w:color="B8C4D0"/>
          <w:bottom w:val="single" w:sz="4" w:space="0" w:color="B8C4D0"/>
          <w:right w:val="single" w:sz="4" w:space="0" w:color="B8C4D0"/>
          <w:insideH w:val="single" w:sz="4" w:space="0" w:color="B8C4D0"/>
          <w:insideV w:val="single" w:sz="4" w:space="0" w:color="B8C4D0"/>
        </w:tblBorders>
      </w:tblPr>
      <w:tblGrid>
        <w:gridCol w:w="3009"/>
        <w:gridCol w:w="3009"/>
        <w:gridCol w:w="3009"/>
      </w:tblGrid>
      <w:tr>
        <w:tc>
          <w:tcPr>
            <w:tcW w:type="dxa" w:w="1728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มิติ</w:t>
            </w:r>
          </w:p>
        </w:tc>
        <w:tc>
          <w:tcPr>
            <w:tcW w:type="dxa" w:w="4752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ตัวชี้วัด</w:t>
            </w:r>
          </w:p>
        </w:tc>
        <w:tc>
          <w:tcPr>
            <w:tcW w:type="dxa" w:w="2592"/>
            <w:shd w:val="clear" w:color="auto" w:fill="0B1E3F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29"/>
                <w:szCs w:val="29"/>
                <w:bCs/>
              </w:rPr>
              <w:t>ทิศทาง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๑. คล่องตัว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ระดับการให้บริการ (LOS) และความล่าช้าเฉลี่ยที่ทางแยกที่ปรับปรุง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ยกระดับจาก LOS E–F สู่ LOS C–D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๒. ปลอดภัย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จำนวนผู้เสียชีวิตและจุดขัดแย้งที่ทางแยกในความรับผิดชอบ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มุ่งเป้า UN ลดผู้เสียชีวิตครึ่งหนึ่งในปี ๒๕๗๓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๓. สิ่งแวดล้อม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ปริมาณ CO₂ ที่ทางแยกที่ปรับปรุง (ประเมินตาม EPA MOVES)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ลดลงอย่างมีนัยสำคัญ สอดคล้องเป้า Net Zero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๔. ประชาชน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ความพึงพอใจชุมชน และข้อร้องเรียนผ่านสายด่วน ๑๕๘๖ ต่อทางแยก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ความพึงพอใจเพิ่ม · ข้อร้องเรียนลด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เศรษฐกิจ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ผลตอบแทนทางเศรษฐกิจ (Benefit-Cost Ratio)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ทุกโครงการต้องมีผลตอบแทนที่ชัดเจน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บุคลากร</w:t>
            </w:r>
          </w:p>
        </w:tc>
        <w:tc>
          <w:tcPr>
            <w:tcW w:type="dxa" w:w="475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สัดส่วนวิศวกรที่ผ่านการอบรม PTV VISSIM, FHWA SSAM, EPA MOVES</w:t>
            </w:r>
          </w:p>
        </w:tc>
        <w:tc>
          <w:tcPr>
            <w:tcW w:type="dxa" w:w="2592"/>
            <w:vAlign w:val="center"/>
          </w:tcPr>
          <w:p>
            <w:pPr>
              <w:spacing w:after="20" w:before="2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9"/>
                <w:szCs w:val="29"/>
              </w:rPr>
              <w:t>เพิ่มขึ้นต่อเนื่องทุกสำนักงานทางหลวง</w:t>
            </w:r>
          </w:p>
        </w:tc>
      </w:tr>
    </w:tbl>
    <w:p>
      <w:pPr>
        <w:spacing w:after="80"/>
      </w:pP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๖.๒  การบริหารความเสี่ยงและการบริหารการเปลี่ยนแปลง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ความเสี่ยงด้านคุณภาพข้อมูล — จัดทำบัญชีข้อมูลของกรมและกำหนดผู้รับผิดชอบข้อมูลในแต่ละสำนัก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ความเสี่ยงด้านความมั่นคงปลอดภัยไซเบอร์ — ใช้สถาปัตยกรรมความปลอดภัยตามมาตรฐานสากลและตรวจสอบสม่ำเสมอ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ความเสี่ยงจาก AI ให้คำตอบผิดพลาด — ยึดหลัก “มนุษย์เป็นผู้ตัดสินใจสุดท้าย” ในทุกการตัดสินใจสำคัญ</w:t>
      </w:r>
    </w:p>
    <w:p>
      <w:pPr>
        <w:pStyle w:val="ListBullet"/>
        <w:spacing w:after="8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ความเสี่ยงด้านการต่อต้านการเปลี่ยนแปลง — ใช้การบริหารการเปลี่ยนแปลงเชิงระบบ เริ่มจากผู้สมัครใจ และสร้างผู้นำการเปลี่ยนแปลงในระดับสำนักและแขวงทางหลวง</w:t>
      </w:r>
    </w:p>
    <w:p>
      <w:pPr>
        <w:pStyle w:val="Heading2"/>
        <w:keepNext/>
        <w:spacing w:before="200" w:after="80"/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๖.๓  ผลที่คาดว่าจะได้รับ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ข้อเสนอนี้คาดว่าจะช่วยให้กรมทางหลวงแก้ไขปัญหาจราจรที่ทางแยกได้อย่างเป็นระบบและครบทุกมิติ ทั้งความคล่องตัว ความปลอดภัย สิ่งแวดล้อม และการอยู่ร่วมกับประชาชน ช่วยให้ประเทศไทยเข้าใกล้เป้าหมาย การลดผู้เสียชีวิตจากอุบัติเหตุทางถนนครึ่งหนึ่งภายในปี พ.ศ. ๒๕๗๓ ลดการปล่อยก๊าซคาร์บอนไดออกไซด์ จากการจราจรอย่างมีนัยสำคัญ และสร้างความเชื่อมั่นของประชาชนต่อการบริหารงานของกรม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บทที่ ๗  บทสรุปและข้อเสนอแนะ</w:t>
      </w:r>
    </w:p>
    <w:p>
      <w:pPr>
        <w:spacing w:before="0" w:after="120" w:line="276" w:lineRule="auto"/>
        <w:jc w:val="both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การประยุกต์ใช้ปัญญาประดิษฐ์ในงานวิศวกรรมจราจรของกรมทางหลวงภายใต้กรอบแนวคิด ๔ มิติ เป็นแนวทางที่สามารถดำเนินการได้จริงในบริบทของบุคลากรและเครื่องมือที่กรมและภาควิชาการใช้อยู่ในปัจจุบัน ความสำเร็จขึ้นอยู่กับความต่อเนื่องของนโยบายข้ามรัฐบาล ความพร้อมของบุคลากรในระดับสายงาน และความร่วมมือระหว่างหน่วยงาน โดยมีปลายทางที่ชัดเจนคือประโยชน์สุขของประชาชนผู้ใช้ทาง</w:t>
      </w:r>
    </w:p>
    <w:p>
      <w:pPr>
        <w:spacing w:before="200" w:after="120"/>
        <w:jc w:val="center"/>
        <w:shd w:val="clear" w:fill="FFF1CC"/>
        <w:pBdr>
          <w:top w:val="single" w:sz="6" w:space="6" w:color="FFB300"/>
          <w:bottom w:val="single" w:sz="6" w:space="6" w:color="FFB300"/>
          <w:left w:val="single" w:sz="6" w:space="6" w:color="FFB300"/>
          <w:right w:val="single" w:sz="6" w:space="6" w:color="FFB300"/>
        </w:pBdr>
      </w:pPr>
      <w:r>
        <w:rPr>
          <w:rFonts w:ascii="TH Sarabun New" w:hAnsi="TH Sarabun New" w:cs="TH Sarabun New" w:eastAsia="TH Sarabun New"/>
          <w:b/>
          <w:i w:val="0"/>
          <w:color w:val="0B1E3F"/>
          <w:sz w:val="34"/>
          <w:szCs w:val="34"/>
          <w:bCs/>
        </w:rPr>
        <w:t>“ทุกทางแยกของกรมทางหลวงในยุคปัญญาประดิษฐ์ ต้องคล่องตัว ปลอดภัย เป็นมิตรกับสิ่งแวดล้อม และอยู่ร่วมกับประชาชนได้พร้อมกัน”</w:t>
      </w:r>
    </w:p>
    <w:p>
      <w:pPr>
        <w:pStyle w:val="Heading1"/>
        <w:keepNext/>
        <w:spacing w:before="320" w:after="160"/>
      </w:pPr>
      <w:r>
        <w:rPr>
          <w:rFonts w:ascii="TH Sarabun New" w:hAnsi="TH Sarabun New" w:cs="TH Sarabun New" w:eastAsia="TH Sarabun New"/>
          <w:b/>
          <w:i w:val="0"/>
          <w:color w:val="0B1E3F"/>
          <w:sz w:val="40"/>
          <w:szCs w:val="40"/>
          <w:bCs/>
        </w:rPr>
        <w:t>บรรณานุกรม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[1]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สำนักงานพัฒนารัฐบาลดิจิทัล (องค์การมหาชน). แผนพัฒนารัฐบาลดิจิทัลของประเทศไทย พ.ศ. ๒๕๖๖–๒๕๗๐.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[2]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กรมทางหลวง. แผนปฏิบัติราชการกรมทางหลวง พ.ศ. ๒๕๖๖–๒๕๗๐ และแผนปฏิบัติการดิจิทัลกรมทางหลวง พ.ศ. ๒๕๖๖–๒๕๗๐.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[3]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กรมทางหลวง. ระบบสารสนเทศโครงข่ายทางหลวง (Roadnet) และระบบของสำนักอำนวยความปลอดภัย.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[4]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กระทรวงคมนาคม. นโยบาย “คมนาคมเพื่อโอกาสประเทศไทย”.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[5]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กรมทางหลวง. แผนแม่บทการพัฒนาโครงข่ายทางหลวงพิเศษระหว่างเมือง (MR-MAP) ระยะ ๒๐ ปี.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[6]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World Health Organization. Global Plan for the Decade of Action for Road Safety 2021–2030.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[7]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United Nations. Decade of Action for Road Safety 2021–2030 (เป้าหมายลดผู้เสียชีวิตครึ่งหนึ่งภายในปี ค.ศ. 2030).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[8]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PTV Group. PTV VISSIM — Microscopic Traffic Simulation Software.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[9]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U.S. Federal Highway Administration (FHWA). Surrogate Safety Assessment Model (SSAM).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[10]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U.S. Environmental Protection Agency (EPA). MOVES — Motor Vehicle Emission Simulator.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[11]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Land Transport Authority (Singapore). Smart Mobility 2030 และระบบ CRUISE.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[12]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พระราชบัญญัติคุ้มครองข้อมูลส่วนบุคคล พ.ศ. ๒๕๖๒ และพระราชบัญญัติการรักษาความมั่นคงปลอดภัยไซเบอร์ พ.ศ. ๒๕๖๒.</w:t>
      </w:r>
    </w:p>
    <w:p>
      <w:pPr>
        <w:spacing w:after="60" w:line="264" w:lineRule="auto"/>
        <w:ind w:left="576" w:hanging="576"/>
        <w:jc w:val="both"/>
      </w:pPr>
      <w:r>
        <w:rPr>
          <w:rFonts w:ascii="TH Sarabun New" w:hAnsi="TH Sarabun New" w:cs="TH Sarabun New" w:eastAsia="TH Sarabun New"/>
          <w:b/>
          <w:i w:val="0"/>
          <w:color w:val="0B1E3F"/>
          <w:sz w:val="30"/>
          <w:szCs w:val="30"/>
          <w:bCs/>
        </w:rPr>
        <w:t xml:space="preserve">[13]  </w:t>
      </w:r>
      <w:r>
        <w:rPr>
          <w:rFonts w:ascii="TH Sarabun New" w:hAnsi="TH Sarabun New" w:cs="TH Sarabun New" w:eastAsia="TH Sarabun New"/>
          <w:b w:val="0"/>
          <w:i w:val="0"/>
          <w:sz w:val="30"/>
          <w:szCs w:val="30"/>
        </w:rPr>
        <w:t>พระราชบัญญัติการจัดซื้อจัดจ้างและการบริหารพัสดุภาครัฐ พ.ศ. ๒๕๖๐ และพระราชบัญญัติวิธีการงบประมาณ พ.ศ. ๒๕๖๑.</w:t>
      </w:r>
    </w:p>
    <w:sectPr w:rsidR="00FC693F" w:rsidRPr="0006063C" w:rsidSect="00034616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H Sarabun New" w:hAnsi="TH Sarabun New" w:cs="TH Sarabun New" w:eastAsia="TH Sarabun New"/>
        <w:b w:val="0"/>
        <w:i w:val="0"/>
        <w:color w:val="0B1E3F"/>
        <w:sz w:val="28"/>
        <w:szCs w:val="28"/>
      </w:rP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 w:eastAsia="TH Sarabun New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H Sarabun New" w:hAnsi="TH Sarabun New" w:cs="TH Sarabun New" w:eastAsia="TH Sarabun New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H Sarabun New" w:hAnsi="TH Sarabun New" w:cs="TH Sarabun New" w:eastAsia="TH Sarabun New"/>
      <w:b/>
      <w:bCs/>
      <w:color w:val="4F81BD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H Sarabun New" w:hAnsi="TH Sarabun New" w:cs="TH Sarabun New" w:eastAsia="TH Sarabun New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TH Sarabun New" w:hAnsi="TH Sarabun New" w:cs="TH Sarabun New" w:eastAsia="TH Sarabun New"/>
      <w:sz w:val="3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