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40" w:line="276" w:lineRule="auto"/>
        <w:jc w:val="center"/>
      </w:pP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>เอกสารแนบ ๖</w:t>
      </w:r>
    </w:p>
    <w:p>
      <w:pPr>
        <w:spacing w:before="0" w:after="40" w:line="276" w:lineRule="auto"/>
        <w:jc w:val="center"/>
      </w:pPr>
      <w:r>
        <w:rPr>
          <w:rFonts w:ascii="TH Sarabun New" w:hAnsi="TH Sarabun New" w:cs="TH Sarabun New" w:eastAsia="TH Sarabun New"/>
          <w:b/>
          <w:i w:val="0"/>
          <w:color w:val="0B1E3F"/>
          <w:sz w:val="36"/>
          <w:szCs w:val="36"/>
          <w:bCs/>
        </w:rPr>
        <w:t>รายงานการศึกษาส่วนบุคคล (Individual Study : IS)</w:t>
      </w:r>
    </w:p>
    <w:p>
      <w:pPr>
        <w:spacing w:before="0" w:after="360" w:line="276" w:lineRule="auto"/>
        <w:jc w:val="center"/>
      </w:pPr>
      <w:r>
        <w:rPr>
          <w:rFonts w:ascii="TH Sarabun New" w:hAnsi="TH Sarabun New" w:cs="TH Sarabun New" w:eastAsia="TH Sarabun New"/>
          <w:b w:val="0"/>
          <w:i w:val="0"/>
          <w:color w:val="B87A00"/>
          <w:sz w:val="30"/>
          <w:szCs w:val="30"/>
        </w:rPr>
        <w:t>ฉบับสรุปเชิงวิชาการ</w:t>
      </w:r>
    </w:p>
    <w:p>
      <w:pPr>
        <w:spacing w:before="0" w:after="0" w:line="276" w:lineRule="auto"/>
        <w:jc w:val="center"/>
      </w:pPr>
      <w:r>
        <w:rPr>
          <w:rFonts w:ascii="TH Sarabun New" w:hAnsi="TH Sarabun New" w:cs="TH Sarabun New" w:eastAsia="TH Sarabun New"/>
          <w:b/>
          <w:i w:val="0"/>
          <w:color w:val="0B1E3F"/>
          <w:sz w:val="48"/>
          <w:szCs w:val="48"/>
          <w:bCs/>
        </w:rPr>
        <w:t>แนวทางการประยุกต์ใช้เทคโนโลยีปัญญาประดิษฐ์</w:t>
      </w:r>
    </w:p>
    <w:p>
      <w:pPr>
        <w:spacing w:before="0" w:after="0" w:line="276" w:lineRule="auto"/>
        <w:jc w:val="center"/>
      </w:pPr>
      <w:r>
        <w:rPr>
          <w:rFonts w:ascii="TH Sarabun New" w:hAnsi="TH Sarabun New" w:cs="TH Sarabun New" w:eastAsia="TH Sarabun New"/>
          <w:b/>
          <w:i w:val="0"/>
          <w:color w:val="0B1E3F"/>
          <w:sz w:val="48"/>
          <w:szCs w:val="48"/>
          <w:bCs/>
        </w:rPr>
        <w:t>ในงานวิศวกรรมจราจรของกรมทางหลวง</w:t>
      </w:r>
    </w:p>
    <w:p>
      <w:pPr>
        <w:spacing w:before="0" w:after="120" w:line="276" w:lineRule="auto"/>
        <w:jc w:val="center"/>
      </w:pPr>
      <w:r>
        <w:rPr>
          <w:rFonts w:ascii="TH Sarabun New" w:hAnsi="TH Sarabun New" w:cs="TH Sarabun New" w:eastAsia="TH Sarabun New"/>
          <w:b/>
          <w:i w:val="0"/>
          <w:color w:val="0B1E3F"/>
          <w:sz w:val="36"/>
          <w:szCs w:val="36"/>
          <w:bCs/>
        </w:rPr>
        <w:t>เพื่อยกระดับการบริหารจัดการจราจรอย่างมีประสิทธิภาพและบูรณาการในทุกมิติ</w:t>
      </w:r>
    </w:p>
    <w:p>
      <w:pPr>
        <w:spacing w:before="0" w:after="520" w:line="276" w:lineRule="auto"/>
        <w:jc w:val="center"/>
      </w:pPr>
      <w:r>
        <w:rPr>
          <w:rFonts w:ascii="TH Sarabun New" w:hAnsi="TH Sarabun New" w:cs="TH Sarabun New" w:eastAsia="TH Sarabun New"/>
          <w:b w:val="0"/>
          <w:i/>
          <w:color w:val="B87A00"/>
          <w:sz w:val="30"/>
          <w:szCs w:val="30"/>
        </w:rPr>
        <w:t>Application of Artificial Intelligence in Traffic Engineering for Integrated and Efficient Traffic Management of the Department of Highways</w:t>
      </w:r>
    </w:p>
    <w:p>
      <w:pPr>
        <w:spacing w:before="0" w:after="360" w:line="276" w:lineRule="auto"/>
        <w:jc w:val="both"/>
        <w:pBdr>
          <w:bottom w:val="single" w:sz="12" w:space="1" w:color="FFB300"/>
        </w:pBdr>
      </w:pPr>
    </w:p>
    <w:p>
      <w:pPr>
        <w:spacing w:before="0" w:after="40" w:line="276" w:lineRule="auto"/>
        <w:jc w:val="center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เสนอโดย</w:t>
      </w:r>
    </w:p>
    <w:p>
      <w:pPr>
        <w:spacing w:before="0" w:after="40" w:line="276" w:lineRule="auto"/>
        <w:jc w:val="center"/>
      </w:pPr>
      <w:r>
        <w:rPr>
          <w:rFonts w:ascii="TH Sarabun New" w:hAnsi="TH Sarabun New" w:cs="TH Sarabun New" w:eastAsia="TH Sarabun New"/>
          <w:b/>
          <w:i w:val="0"/>
          <w:color w:val="0B1E3F"/>
          <w:sz w:val="36"/>
          <w:szCs w:val="36"/>
          <w:bCs/>
        </w:rPr>
        <w:t>นายพิชากร  ศรีจันทร์ทอง</w:t>
      </w:r>
    </w:p>
    <w:p>
      <w:pPr>
        <w:spacing w:before="0" w:after="0" w:line="276" w:lineRule="auto"/>
        <w:jc w:val="center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ผู้อำนวยการแขวงทางหลวงสมุทรปราการ</w:t>
      </w:r>
    </w:p>
    <w:p>
      <w:pPr>
        <w:spacing w:before="0" w:after="480" w:line="276" w:lineRule="auto"/>
        <w:jc w:val="center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สำนักงานทางหลวงที่ ๑๓ (กรุงเทพ)  กรมทางหลวง</w:t>
      </w:r>
    </w:p>
    <w:p>
      <w:pPr>
        <w:spacing w:before="0" w:after="0" w:line="276" w:lineRule="auto"/>
        <w:jc w:val="center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ประกอบการสมัครเข้ารับการฝึกอบรม</w:t>
      </w:r>
    </w:p>
    <w:p>
      <w:pPr>
        <w:spacing w:before="0" w:after="40" w:line="276" w:lineRule="auto"/>
        <w:jc w:val="center"/>
      </w:pPr>
      <w:r>
        <w:rPr>
          <w:rFonts w:ascii="TH Sarabun New" w:hAnsi="TH Sarabun New" w:cs="TH Sarabun New" w:eastAsia="TH Sarabun New"/>
          <w:b/>
          <w:i w:val="0"/>
          <w:sz w:val="32"/>
          <w:szCs w:val="32"/>
          <w:bCs/>
        </w:rPr>
        <w:t>หลักสูตรนักบริหารระดับสูงกระทรวงคมนาคม (นบส.คค.) รุ่นที่ ๘</w:t>
      </w:r>
    </w:p>
    <w:p>
      <w:pPr>
        <w:spacing w:before="0" w:after="0" w:line="276" w:lineRule="auto"/>
        <w:jc w:val="center"/>
      </w:pPr>
      <w:r>
        <w:rPr>
          <w:rFonts w:ascii="TH Sarabun New" w:hAnsi="TH Sarabun New" w:cs="TH Sarabun New" w:eastAsia="TH Sarabun New"/>
          <w:b w:val="0"/>
          <w:i w:val="0"/>
          <w:color w:val="B87A00"/>
          <w:sz w:val="30"/>
          <w:szCs w:val="30"/>
        </w:rPr>
        <w:t>สำนักงานปลัดกระทรวงคมนาคม</w:t>
      </w:r>
    </w:p>
    <w:p>
      <w:pPr>
        <w:spacing w:before="0" w:after="0" w:line="276" w:lineRule="auto"/>
        <w:jc w:val="center"/>
      </w:pPr>
      <w:r>
        <w:rPr>
          <w:rFonts w:ascii="TH Sarabun New" w:hAnsi="TH Sarabun New" w:cs="TH Sarabun New" w:eastAsia="TH Sarabun New"/>
          <w:b w:val="0"/>
          <w:i/>
          <w:color w:val="B87A00"/>
          <w:sz w:val="26"/>
          <w:szCs w:val="26"/>
        </w:rPr>
        <w:t>ลิขสิทธิ์ของกระทรวงคมนาคม</w:t>
      </w:r>
    </w:p>
    <w:p>
      <w:r>
        <w:br w:type="page"/>
      </w:r>
    </w:p>
    <w:p>
      <w:pPr>
        <w:pStyle w:val="Heading1"/>
        <w:keepNext/>
        <w:spacing w:before="320" w:after="160"/>
      </w:pPr>
      <w:r>
        <w:rPr>
          <w:rFonts w:ascii="TH Sarabun New" w:hAnsi="TH Sarabun New" w:cs="TH Sarabun New" w:eastAsia="TH Sarabun New"/>
          <w:b/>
          <w:i w:val="0"/>
          <w:color w:val="0B1E3F"/>
          <w:sz w:val="40"/>
          <w:szCs w:val="40"/>
          <w:bCs/>
        </w:rPr>
        <w:t>บทคัดย่อ</w:t>
      </w:r>
    </w:p>
    <w:p>
      <w:pPr>
        <w:spacing w:before="0" w:after="12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รายงานฉบับนี้นำเสนอแนวทางการประยุกต์ใช้เทคโนโลยีปัญญาประดิษฐ์ (Artificial Intelligence) ในงานวิศวกรรมจราจรของกรมทางหลวง โดยมุ่งเน้นการบริหารจัดการทางแยกบนโครงข่ายทางหลวงทั่วประเทศ ซึ่งเป็นจุดที่เกิดอุบัติเหตุและความล่าช้าของการจราจรในสัดส่วนสูง การศึกษาเสนอ “กรอบแนวคิดจราจรอัจฉริยะ ๔ มิติ” ที่กำหนดให้ทุกการปรับปรุงทางแยกต้องดีขึ้นพร้อมกันทุกมิติ ได้แก่ (๑) ความคล่องตัว (๒) ความปลอดภัย (๓) ความเป็นมิตรกับสิ่งแวดล้อม และ (๔) การอยู่ร่วมกับประชาชน โดยใช้เครื่องมือมาตรฐานสากลที่ตรวจสอบได้ ได้แก่ PTV VISSIM, FHWA SSAM และ EPA MOVES ร่วมกับการวิเคราะห์การตัดสินใจแบบหลายเกณฑ์ (Multi-Criteria Decision Analysis)</w:t>
      </w:r>
    </w:p>
    <w:p>
      <w:pPr>
        <w:spacing w:before="0" w:after="12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ข้อเสนอเชิงนโยบายประกอบด้วย ๕ เสาหลัก ได้แก่ การพัฒนาบุคลากร การปรับกระบวนงานออกแบบทางแยก การพัฒนาแพลตฟอร์มและข้อมูล การสร้างพันธมิตรทางวิชาการ และการวางกรอบธรรมาภิบาลและความปลอดภัย พร้อมแผนการนำไปสู่การปฏิบัติ ๓ ระยะตลอด ๕ ปี และกรอบประมาณการงบประมาณเชิงทิศทางประมาณ ๑,๒๐๐ ล้านบาท (ค่ากลาง) ทั้งนี้ภายใต้หลักการสำคัญที่ว่า “เทคโนโลยีเป็นเพียงเครื่องมือ ปลายทางที่แท้จริงคือประโยชน์สุขของประชาชนผู้ใช้ทาง” และยึดหลัก “วิศวกรเป็นผู้รับผิดชอบสุดท้าย” ในการตัดสินใจทางวิศวกรรม</w:t>
      </w:r>
    </w:p>
    <w:p>
      <w:pPr>
        <w:pStyle w:val="Heading1"/>
        <w:keepNext/>
        <w:spacing w:before="320" w:after="160"/>
      </w:pPr>
      <w:r>
        <w:rPr>
          <w:rFonts w:ascii="TH Sarabun New" w:hAnsi="TH Sarabun New" w:cs="TH Sarabun New" w:eastAsia="TH Sarabun New"/>
          <w:b/>
          <w:i w:val="0"/>
          <w:color w:val="0B1E3F"/>
          <w:sz w:val="40"/>
          <w:szCs w:val="40"/>
          <w:bCs/>
        </w:rPr>
        <w:t>สารบัญ</w:t>
      </w:r>
    </w:p>
    <w:p>
      <w:pPr>
        <w:tabs>
          <w:tab w:pos="9072" w:val="right" w:leader="dot"/>
        </w:tabs>
        <w:spacing w:after="80" w:line="288" w:lineRule="auto"/>
        <w:ind w:left="0"/>
      </w:pP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>บทคัดย่อ</w:t>
      </w: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ab/>
        <w:t>2</w:t>
      </w:r>
    </w:p>
    <w:p>
      <w:pPr>
        <w:tabs>
          <w:tab w:pos="9072" w:val="right" w:leader="dot"/>
        </w:tabs>
        <w:spacing w:after="80" w:line="288" w:lineRule="auto"/>
        <w:ind w:left="0"/>
      </w:pP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>บทที่ ๑  บทนำ</w:t>
      </w: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ab/>
        <w:t>4</w:t>
      </w:r>
    </w:p>
    <w:p>
      <w:pPr>
        <w:tabs>
          <w:tab w:pos="9072" w:val="right" w:leader="dot"/>
        </w:tabs>
        <w:spacing w:after="80" w:line="288" w:lineRule="auto"/>
        <w:ind w:left="576"/>
      </w:pP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>๑.๑  ตำแหน่งเป้าหมายและขอบเขตความรับผิดชอบ</w:t>
      </w: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ab/>
        <w:t>4</w:t>
      </w:r>
    </w:p>
    <w:p>
      <w:pPr>
        <w:tabs>
          <w:tab w:pos="9072" w:val="right" w:leader="dot"/>
        </w:tabs>
        <w:spacing w:after="80" w:line="288" w:lineRule="auto"/>
        <w:ind w:left="576"/>
      </w:pP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>๑.๒  ที่มาและความสำคัญ</w:t>
      </w: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ab/>
        <w:t>4</w:t>
      </w:r>
    </w:p>
    <w:p>
      <w:pPr>
        <w:tabs>
          <w:tab w:pos="9072" w:val="right" w:leader="dot"/>
        </w:tabs>
        <w:spacing w:after="80" w:line="288" w:lineRule="auto"/>
        <w:ind w:left="576"/>
      </w:pP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>๑.๓  ประเด็นและวัตถุประสงค์ของการศึกษา</w:t>
      </w: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ab/>
        <w:t>4</w:t>
      </w:r>
    </w:p>
    <w:p>
      <w:pPr>
        <w:tabs>
          <w:tab w:pos="9072" w:val="right" w:leader="dot"/>
        </w:tabs>
        <w:spacing w:after="80" w:line="288" w:lineRule="auto"/>
        <w:ind w:left="576"/>
      </w:pP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>๑.๔  ขอบเขตการศึกษา</w:t>
      </w: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ab/>
        <w:t>4</w:t>
      </w:r>
    </w:p>
    <w:p>
      <w:pPr>
        <w:tabs>
          <w:tab w:pos="9072" w:val="right" w:leader="dot"/>
        </w:tabs>
        <w:spacing w:after="80" w:line="288" w:lineRule="auto"/>
        <w:ind w:left="0"/>
      </w:pP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>บทที่ ๒  สภาพปัญหาและความสอดคล้องเชิงนโยบาย</w:t>
      </w: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ab/>
        <w:t>5</w:t>
      </w:r>
    </w:p>
    <w:p>
      <w:pPr>
        <w:tabs>
          <w:tab w:pos="9072" w:val="right" w:leader="dot"/>
        </w:tabs>
        <w:spacing w:after="80" w:line="288" w:lineRule="auto"/>
        <w:ind w:left="576"/>
      </w:pP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>๒.๑  บริบทและความจำเป็น: ความปลอดภัยทางถนนของไทย</w:t>
      </w: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ab/>
        <w:t>5</w:t>
      </w:r>
    </w:p>
    <w:p>
      <w:pPr>
        <w:tabs>
          <w:tab w:pos="9072" w:val="right" w:leader="dot"/>
        </w:tabs>
        <w:spacing w:after="80" w:line="288" w:lineRule="auto"/>
        <w:ind w:left="576"/>
      </w:pP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>๒.๒  สภาพปัญหาและความท้าทาย</w:t>
      </w: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ab/>
        <w:t>6</w:t>
      </w:r>
    </w:p>
    <w:p>
      <w:pPr>
        <w:tabs>
          <w:tab w:pos="9072" w:val="right" w:leader="dot"/>
        </w:tabs>
        <w:spacing w:after="80" w:line="288" w:lineRule="auto"/>
        <w:ind w:left="576"/>
      </w:pP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>๒.๓  ความสอดคล้องเชิงยุทธศาสตร์และนโยบาย</w:t>
      </w: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ab/>
        <w:t>6</w:t>
      </w:r>
    </w:p>
    <w:p>
      <w:pPr>
        <w:tabs>
          <w:tab w:pos="9072" w:val="right" w:leader="dot"/>
        </w:tabs>
        <w:spacing w:after="80" w:line="288" w:lineRule="auto"/>
        <w:ind w:left="0"/>
      </w:pP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>บทที่ ๓  กรอบแนวคิดและข้อเสนอเชิงนโยบาย</w:t>
      </w: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ab/>
        <w:t>7</w:t>
      </w:r>
    </w:p>
    <w:p>
      <w:pPr>
        <w:tabs>
          <w:tab w:pos="9072" w:val="right" w:leader="dot"/>
        </w:tabs>
        <w:spacing w:after="80" w:line="288" w:lineRule="auto"/>
        <w:ind w:left="576"/>
      </w:pP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>๓.๑  กรอบแนวคิด: AI สำหรับการแก้ปัญหาจราจรครบ ๔ มิติ</w:t>
      </w: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ab/>
        <w:t>7</w:t>
      </w:r>
    </w:p>
    <w:p>
      <w:pPr>
        <w:tabs>
          <w:tab w:pos="9072" w:val="right" w:leader="dot"/>
        </w:tabs>
        <w:spacing w:after="80" w:line="288" w:lineRule="auto"/>
        <w:ind w:left="576"/>
      </w:pP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>๓.๒  ข้อเสนอเชิงนโยบาย ๕ เสาหลัก</w:t>
      </w: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ab/>
        <w:t>8</w:t>
      </w:r>
    </w:p>
    <w:p>
      <w:pPr>
        <w:tabs>
          <w:tab w:pos="9072" w:val="right" w:leader="dot"/>
        </w:tabs>
        <w:spacing w:after="80" w:line="288" w:lineRule="auto"/>
        <w:ind w:left="0"/>
      </w:pP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>บทที่ ๔  แผนการนำไปสู่การปฏิบัติและกรอบงบประมาณ</w:t>
      </w: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ab/>
        <w:t>8</w:t>
      </w:r>
    </w:p>
    <w:p>
      <w:pPr>
        <w:tabs>
          <w:tab w:pos="9072" w:val="right" w:leader="dot"/>
        </w:tabs>
        <w:spacing w:after="80" w:line="288" w:lineRule="auto"/>
        <w:ind w:left="576"/>
      </w:pP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>๔.๑  แผนการนำนโยบายไปสู่การปฏิบัติ ๓ ระยะ</w:t>
      </w: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ab/>
        <w:t>8</w:t>
      </w:r>
    </w:p>
    <w:p>
      <w:pPr>
        <w:tabs>
          <w:tab w:pos="9072" w:val="right" w:leader="dot"/>
        </w:tabs>
        <w:spacing w:after="80" w:line="288" w:lineRule="auto"/>
        <w:ind w:left="576"/>
      </w:pP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>๔.๒  กรอบประมาณการงบประมาณเชิงทิศทาง</w:t>
      </w: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ab/>
        <w:t>9</w:t>
      </w:r>
    </w:p>
    <w:p>
      <w:pPr>
        <w:tabs>
          <w:tab w:pos="9072" w:val="right" w:leader="dot"/>
        </w:tabs>
        <w:spacing w:after="80" w:line="288" w:lineRule="auto"/>
        <w:ind w:left="576"/>
      </w:pP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>๔.๓  เงื่อนไขสำคัญทางกฎหมายและระเบียบที่ต้องปฏิบัติ</w:t>
      </w: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ab/>
        <w:t>10</w:t>
      </w:r>
    </w:p>
    <w:p>
      <w:pPr>
        <w:tabs>
          <w:tab w:pos="9072" w:val="right" w:leader="dot"/>
        </w:tabs>
        <w:spacing w:after="80" w:line="288" w:lineRule="auto"/>
        <w:ind w:left="0"/>
      </w:pP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>บทที่ ๕  ตัวอย่างการประยุกต์ใช้ (Use Case)</w:t>
      </w: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ab/>
        <w:t>10</w:t>
      </w:r>
    </w:p>
    <w:p>
      <w:pPr>
        <w:tabs>
          <w:tab w:pos="9072" w:val="right" w:leader="dot"/>
        </w:tabs>
        <w:spacing w:after="80" w:line="288" w:lineRule="auto"/>
        <w:ind w:left="0"/>
      </w:pP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>บทที่ ๖  ตัวชี้วัด การบริหารความเสี่ยง และผลที่คาดว่าจะได้รับ</w:t>
      </w: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ab/>
        <w:t>11</w:t>
      </w:r>
    </w:p>
    <w:p>
      <w:pPr>
        <w:tabs>
          <w:tab w:pos="9072" w:val="right" w:leader="dot"/>
        </w:tabs>
        <w:spacing w:after="80" w:line="288" w:lineRule="auto"/>
        <w:ind w:left="576"/>
      </w:pP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>๖.๑  ตัวชี้วัดความสำเร็จเชิงทิศทาง</w:t>
      </w: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ab/>
        <w:t>11</w:t>
      </w:r>
    </w:p>
    <w:p>
      <w:pPr>
        <w:tabs>
          <w:tab w:pos="9072" w:val="right" w:leader="dot"/>
        </w:tabs>
        <w:spacing w:after="80" w:line="288" w:lineRule="auto"/>
        <w:ind w:left="576"/>
      </w:pP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>๖.๒  การบริหารความเสี่ยงและการบริหารการเปลี่ยนแปลง</w:t>
      </w: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ab/>
        <w:t>11</w:t>
      </w:r>
    </w:p>
    <w:p>
      <w:pPr>
        <w:tabs>
          <w:tab w:pos="9072" w:val="right" w:leader="dot"/>
        </w:tabs>
        <w:spacing w:after="80" w:line="288" w:lineRule="auto"/>
        <w:ind w:left="576"/>
      </w:pP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>๖.๓  ผลที่คาดว่าจะได้รับ</w:t>
      </w:r>
      <w:r>
        <w:rPr>
          <w:rFonts w:ascii="TH Sarabun New" w:hAnsi="TH Sarabun New" w:cs="TH Sarabun New" w:eastAsia="TH Sarabun New"/>
          <w:b w:val="0"/>
          <w:i w:val="0"/>
          <w:color w:val="404A57"/>
          <w:sz w:val="32"/>
          <w:szCs w:val="32"/>
        </w:rPr>
        <w:tab/>
        <w:t>12</w:t>
      </w:r>
    </w:p>
    <w:p>
      <w:pPr>
        <w:tabs>
          <w:tab w:pos="9072" w:val="right" w:leader="dot"/>
        </w:tabs>
        <w:spacing w:after="80" w:line="288" w:lineRule="auto"/>
        <w:ind w:left="0"/>
      </w:pP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>บทที่ ๗  บทสรุปและข้อเสนอแนะ</w:t>
      </w: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ab/>
        <w:t>12</w:t>
      </w:r>
    </w:p>
    <w:p>
      <w:pPr>
        <w:tabs>
          <w:tab w:pos="9072" w:val="right" w:leader="dot"/>
        </w:tabs>
        <w:spacing w:after="80" w:line="288" w:lineRule="auto"/>
        <w:ind w:left="0"/>
      </w:pP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>บรรณานุกรม</w:t>
      </w: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ab/>
        <w:t>12</w:t>
      </w:r>
    </w:p>
    <w:p>
      <w:r>
        <w:br w:type="page"/>
      </w:r>
    </w:p>
    <w:p>
      <w:pPr>
        <w:pStyle w:val="Heading1"/>
        <w:keepNext/>
        <w:spacing w:before="320" w:after="160"/>
      </w:pPr>
      <w:r>
        <w:rPr>
          <w:rFonts w:ascii="TH Sarabun New" w:hAnsi="TH Sarabun New" w:cs="TH Sarabun New" w:eastAsia="TH Sarabun New"/>
          <w:b/>
          <w:i w:val="0"/>
          <w:color w:val="0B1E3F"/>
          <w:sz w:val="40"/>
          <w:szCs w:val="40"/>
          <w:bCs/>
        </w:rPr>
        <w:t>บทที่ ๑  บทนำ</w:t>
      </w:r>
    </w:p>
    <w:p>
      <w:pPr>
        <w:pStyle w:val="Heading2"/>
        <w:keepNext/>
        <w:spacing w:before="200" w:after="80"/>
      </w:pPr>
      <w:r>
        <w:rPr>
          <w:rFonts w:ascii="TH Sarabun New" w:hAnsi="TH Sarabun New" w:cs="TH Sarabun New" w:eastAsia="TH Sarabun New"/>
          <w:b/>
          <w:i w:val="0"/>
          <w:color w:val="0B1E3F"/>
          <w:sz w:val="34"/>
          <w:szCs w:val="34"/>
          <w:bCs/>
        </w:rPr>
        <w:t>๑.๑  ตำแหน่งเป้าหมายและขอบเขตความรับผิดชอบ</w:t>
      </w:r>
    </w:p>
    <w:p>
      <w:pPr>
        <w:spacing w:before="0" w:after="12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ตำแหน่งเป้าหมายของผู้เสนอคือ รองอธิบดีกรมทางหลวง ซึ่งเป็นผู้บริหารระดับสูงที่มีหน้าที่ช่วยอธิบดี ในการกำหนดนโยบายและทิศทางการบริหารราชการของกรม ตามอำนาจหน้าที่ในพระราชบัญญัติทางหลวง พ.ศ. ๒๕๓๕ และกฎกระทรวงแบ่งส่วนราชการของกรมทางหลวง พ.ศ. ๒๕๖๐ ครอบคลุมการกำกับดูแลงานวิศวกรรมจราจร การออกแบบและบริหารทางแยกบนทางหลวงทั่วประเทศ การยกระดับความปลอดภัยทางถนนตามกรอบทศวรรษแห่งความปลอดภัย ทางถนน พ.ศ. ๒๕๖๔–๒๕๗๓ ขององค์การสหประชาชาติ และการนำเทคโนโลยีดิจิทัลและปัญญาประดิษฐ์มาประยุกต์ใช้ โดยทำงานร่วมกับสำนักอำนวยความปลอดภัย สำนักวิจัยและพัฒนางานทาง สำนักงานทางหลวงในส่วนภูมิภาค และศูนย์เทคโนโลยีสารสนเทศของกรม</w:t>
      </w:r>
    </w:p>
    <w:p>
      <w:pPr>
        <w:pStyle w:val="Heading2"/>
        <w:keepNext/>
        <w:spacing w:before="200" w:after="80"/>
      </w:pPr>
      <w:r>
        <w:rPr>
          <w:rFonts w:ascii="TH Sarabun New" w:hAnsi="TH Sarabun New" w:cs="TH Sarabun New" w:eastAsia="TH Sarabun New"/>
          <w:b/>
          <w:i w:val="0"/>
          <w:color w:val="0B1E3F"/>
          <w:sz w:val="34"/>
          <w:szCs w:val="34"/>
          <w:bCs/>
        </w:rPr>
        <w:t>๑.๒  ที่มาและความสำคัญ</w:t>
      </w:r>
    </w:p>
    <w:p>
      <w:pPr>
        <w:spacing w:before="0" w:after="12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ปัญหาจราจรบนโครงข่ายทางหลวง โดยเฉพาะที่ทางแยก เป็นปัญหาเชิงระบบที่ส่งผลกระทบต่อประชาชนในวงกว้าง ทั้งด้านความสะดวก ความปลอดภัย สิ่งแวดล้อม และคุณภาพชีวิต งานวิจัยระหว่างประเทศชี้ว่ามากกว่าร้อยละ ๕๐ ของอุบัติเหตุทางถนนเกิดขึ้นที่ทางแยก ขณะที่ประเทศไทยมีอัตราการเสียชีวิตจากอุบัติเหตุทางถนนสูงประมาณ ๒๕.๔ คนต่อประชากรหนึ่งแสนคน หรือราว ๑๘,๐๐๐ คนต่อปี การนำปัญญาประดิษฐ์มาประยุกต์ใช้อย่างเป็นระบบ จึงเป็นโอกาสสำคัญในการยกระดับการบริหารจัดการจราจรของกรมให้ตอบโจทย์ประชาชนได้ครบทุกมิติ</w:t>
      </w:r>
    </w:p>
    <w:p>
      <w:pPr>
        <w:pStyle w:val="Heading2"/>
        <w:keepNext/>
        <w:spacing w:before="200" w:after="80"/>
      </w:pPr>
      <w:r>
        <w:rPr>
          <w:rFonts w:ascii="TH Sarabun New" w:hAnsi="TH Sarabun New" w:cs="TH Sarabun New" w:eastAsia="TH Sarabun New"/>
          <w:b/>
          <w:i w:val="0"/>
          <w:color w:val="0B1E3F"/>
          <w:sz w:val="34"/>
          <w:szCs w:val="34"/>
          <w:bCs/>
        </w:rPr>
        <w:t>๑.๓  ประเด็นและวัตถุประสงค์ของการศึกษา</w:t>
      </w:r>
    </w:p>
    <w:p>
      <w:pPr>
        <w:spacing w:before="0" w:after="12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ศึกษาแนวทางการประยุกต์ปัญญาประดิษฐ์ในงานวิศวกรรมจราจรของกรมทางหลวง โดยเฉพาะการบริหารจัดการทางแยก บนทางหลวงทั่วประเทศ เพื่อแก้ไขปัญหาจราจรอย่างครบ ๔ มิติ ได้แก่ ความคล่องตัวของการจราจร ความปลอดภัยของผู้ใช้ทาง ความเป็นมิตรกับสิ่งแวดล้อม และการอยู่ร่วมกับชุมชนและประชาชน โดยใช้กรอบมาตรฐานสากลในการประเมินผล และต่อยอดเครื่องมือทางวิศวกรรมจราจรที่กรมและภาควิชาการใช้อยู่ในปัจจุบัน</w:t>
      </w:r>
    </w:p>
    <w:p>
      <w:pPr>
        <w:pStyle w:val="Heading2"/>
        <w:keepNext/>
        <w:spacing w:before="200" w:after="80"/>
      </w:pPr>
      <w:r>
        <w:rPr>
          <w:rFonts w:ascii="TH Sarabun New" w:hAnsi="TH Sarabun New" w:cs="TH Sarabun New" w:eastAsia="TH Sarabun New"/>
          <w:b/>
          <w:i w:val="0"/>
          <w:color w:val="0B1E3F"/>
          <w:sz w:val="34"/>
          <w:szCs w:val="34"/>
          <w:bCs/>
        </w:rPr>
        <w:t>๑.๔  ขอบเขตการศึกษา</w:t>
      </w:r>
    </w:p>
    <w:p>
      <w:pPr>
        <w:spacing w:before="0" w:after="12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การศึกษานี้เป็นข้อเสนอเชิงนโยบายในกรอบอำนาจหน้าที่ของผู้บริหารระดับสูง มุ่งเน้นการบริหารจัดการทางแยก บนทางหลวงในความรับผิดชอบของกรม และการประยุกต์เครื่องมือมาตรฐานสากล ได้แก่ PTV VISSIM (Microscopic Traffic Simulation), FHWA SSAM (Surrogate Safety Assessment Model) และ EPA MOVES (Motor Vehicle Emission Simulator) เป็นกรอบในการประเมินและตัดสินใจ</w:t>
      </w:r>
    </w:p>
    <w:p>
      <w:pPr>
        <w:pStyle w:val="Heading1"/>
        <w:keepNext/>
        <w:spacing w:before="320" w:after="160"/>
      </w:pPr>
      <w:r>
        <w:rPr>
          <w:rFonts w:ascii="TH Sarabun New" w:hAnsi="TH Sarabun New" w:cs="TH Sarabun New" w:eastAsia="TH Sarabun New"/>
          <w:b/>
          <w:i w:val="0"/>
          <w:color w:val="0B1E3F"/>
          <w:sz w:val="40"/>
          <w:szCs w:val="40"/>
          <w:bCs/>
        </w:rPr>
        <w:t>บทที่ ๒  สภาพปัญหาและความสอดคล้องเชิงนโยบาย</w:t>
      </w:r>
    </w:p>
    <w:p>
      <w:pPr>
        <w:pStyle w:val="Heading2"/>
      </w:pPr>
      <w:r>
        <w:rPr>
          <w:rFonts w:ascii="TH Sarabun New" w:hAnsi="TH Sarabun New" w:cs="TH Sarabun New"/>
          <w:b/>
          <w:color w:val="0B1E3F"/>
          <w:sz w:val="34"/>
        </w:rPr>
        <w:t>๒.๑  บริบทและความจำเป็น: ความปลอดภัยทางถนนของไทยในระดับโลกและระดับหน่วยงาน</w:t>
      </w:r>
    </w:p>
    <w:p>
      <w:pPr>
        <w:spacing w:after="120" w:line="240" w:lineRule="auto"/>
        <w:ind w:firstLine="720"/>
      </w:pPr>
      <w:r>
        <w:rPr>
          <w:rFonts w:ascii="TH Sarabun New" w:hAnsi="TH Sarabun New" w:cs="TH Sarabun New"/>
          <w:b w:val="0"/>
          <w:sz w:val="32"/>
        </w:rPr>
        <w:t>ก่อนเจาะจงประเด็น “ทางแยก” ผู้จัดทำวางบริบทของปัญหาความปลอดภัยทางถนนตั้งแต่ระดับโลกลงสู่ระดับหน่วยงาน เพื่อแสดงความจำเป็นเร่งด่วนและขอบเขตอำนาจดำเนินการของกรมทางหลวง</w:t>
      </w:r>
    </w:p>
    <w:p>
      <w:pPr>
        <w:spacing w:before="120" w:after="40"/>
      </w:pPr>
      <w:r>
        <w:rPr>
          <w:rFonts w:ascii="TH Sarabun New" w:hAnsi="TH Sarabun New" w:cs="TH Sarabun New"/>
          <w:b/>
          <w:color w:val="0B1E3F"/>
          <w:sz w:val="32"/>
        </w:rPr>
        <w:t>๑) สถานการณ์ระดับโลกและภูมิภาค</w:t>
      </w:r>
    </w:p>
    <w:p>
      <w:pPr>
        <w:spacing w:after="120" w:line="240" w:lineRule="auto"/>
        <w:ind w:firstLine="720"/>
      </w:pPr>
      <w:r>
        <w:rPr>
          <w:rFonts w:ascii="TH Sarabun New" w:hAnsi="TH Sarabun New" w:cs="TH Sarabun New"/>
          <w:b w:val="0"/>
          <w:sz w:val="32"/>
        </w:rPr>
        <w:t>องค์การอนามัยโลก (WHO) รายงานว่าทั่วโลกมีผู้เสียชีวิตจากอุบัติเหตุทางถนนราว 1.19 ล้านคนต่อปี ประเทศไทยมีอัตราการ เสียชีวิต 25.4 คนต่อประชากรแสนคน (ข้อมูลปี ค.ศ. 2021) สูงเป็นอันดับ 9 จาก 175 ประเทศ และสูงเป็นอันดับ 1 ในอาเซียน โดยผู้เสียชีวิตร้อยละ 83.8 เป็นผู้ขับขี่จักรยานยนต์ ภูมิภาคเอเชียใต้และตะวันออกมีผู้เสียชีวิตราว 330,222 รายต่อปี หรือ ราวร้อยละ 28 ของทั้งโลก แม้อัตราของไทยจะปรับดีขึ้นจาก 32.7 (ปี 2016) เหลือ 25.4 (ปี 2021) แต่ยังห่างจากเป้าหมาย ชาติที่ 12 ต่อแสนภายในปี พ.ศ. 2570 (ที่มา: WHO Global Status Report on Road Safety 2023 · WHO South-East Asia 2024)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513"/>
        <w:gridCol w:w="4513"/>
      </w:tblGrid>
      <w:tr>
        <w:tc>
          <w:tcPr>
            <w:tcW w:type="dxa" w:w="4896"/>
            <w:shd w:val="clear" w:fill="0B1E3F"/>
          </w:tcPr>
          <w:p>
            <w:r/>
            <w:r>
              <w:rPr>
                <w:rFonts w:ascii="TH Sarabun New" w:hAnsi="TH Sarabun New" w:cs="TH Sarabun New"/>
                <w:b/>
                <w:color w:val="FFFFFF"/>
                <w:sz w:val="30"/>
              </w:rPr>
              <w:t>ประเทศ (รอบสำรวจ ค.ศ. 2016)</w:t>
            </w:r>
          </w:p>
        </w:tc>
        <w:tc>
          <w:tcPr>
            <w:tcW w:type="dxa" w:w="3456"/>
            <w:shd w:val="clear" w:fill="0B1E3F"/>
          </w:tcPr>
          <w:p>
            <w:r/>
            <w:r>
              <w:rPr>
                <w:rFonts w:ascii="TH Sarabun New" w:hAnsi="TH Sarabun New" w:cs="TH Sarabun New"/>
                <w:b/>
                <w:color w:val="FFFFFF"/>
                <w:sz w:val="30"/>
              </w:rPr>
              <w:t>อัตราการตายต่อประชากรแสนคน</w:t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ไทย (สูงสุดในอาเซียน)</w:t>
            </w:r>
          </w:p>
        </w:tc>
        <w:tc>
          <w:tcPr>
            <w:tcW w:type="dxa" w:w="3456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32.7</w:t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เวียดนาม</w:t>
            </w:r>
          </w:p>
        </w:tc>
        <w:tc>
          <w:tcPr>
            <w:tcW w:type="dxa" w:w="3456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26.7</w:t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สิงคโปร์ (ต่ำสุด)</w:t>
            </w:r>
          </w:p>
        </w:tc>
        <w:tc>
          <w:tcPr>
            <w:tcW w:type="dxa" w:w="3456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2.8</w:t>
            </w:r>
          </w:p>
        </w:tc>
      </w:tr>
    </w:tbl>
    <w:p>
      <w:pPr>
        <w:spacing w:after="80"/>
      </w:pPr>
    </w:p>
    <w:p>
      <w:pPr>
        <w:spacing w:before="120" w:after="40"/>
      </w:pPr>
      <w:r>
        <w:rPr>
          <w:rFonts w:ascii="TH Sarabun New" w:hAnsi="TH Sarabun New" w:cs="TH Sarabun New"/>
          <w:b/>
          <w:color w:val="0B1E3F"/>
          <w:sz w:val="32"/>
        </w:rPr>
        <w:t>๒) โครงสร้างความรับผิดชอบถนนของไทยจำแนกตามหน่วยงาน (พ.ศ. 2568)</w:t>
      </w:r>
    </w:p>
    <w:p>
      <w:pPr>
        <w:spacing w:after="120" w:line="240" w:lineRule="auto"/>
        <w:ind w:firstLine="720"/>
      </w:pPr>
      <w:r>
        <w:rPr>
          <w:rFonts w:ascii="TH Sarabun New" w:hAnsi="TH Sarabun New" w:cs="TH Sarabun New"/>
          <w:b w:val="0"/>
          <w:sz w:val="32"/>
        </w:rPr>
        <w:t>ถนนของประเทศไทยมีระยะทางรวม 706,120.9 กิโลเมตร องค์กรปกครองส่วนท้องถิ่นถือครองมากที่สุดร้อยละ 84.6 ขณะที่กรม ทางหลวงและกรมทางหลวงชนบทซึ่งเป็นสองหน่วยงานหลักภายใต้กระทรวงคมนาคมถือครองรวมกันเพียงร้อยละ 14.7 (103,679.5 กม.)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09"/>
        <w:gridCol w:w="3009"/>
        <w:gridCol w:w="3009"/>
      </w:tblGrid>
      <w:tr>
        <w:tc>
          <w:tcPr>
            <w:tcW w:type="dxa" w:w="4608"/>
            <w:shd w:val="clear" w:fill="0B1E3F"/>
          </w:tcPr>
          <w:p>
            <w:r/>
            <w:r>
              <w:rPr>
                <w:rFonts w:ascii="TH Sarabun New" w:hAnsi="TH Sarabun New" w:cs="TH Sarabun New"/>
                <w:b/>
                <w:color w:val="FFFFFF"/>
                <w:sz w:val="30"/>
              </w:rPr>
              <w:t>หน่วยงานเจ้าของถนน</w:t>
            </w:r>
          </w:p>
        </w:tc>
        <w:tc>
          <w:tcPr>
            <w:tcW w:type="dxa" w:w="2304"/>
            <w:shd w:val="clear" w:fill="0B1E3F"/>
          </w:tcPr>
          <w:p>
            <w:r/>
            <w:r>
              <w:rPr>
                <w:rFonts w:ascii="TH Sarabun New" w:hAnsi="TH Sarabun New" w:cs="TH Sarabun New"/>
                <w:b/>
                <w:color w:val="FFFFFF"/>
                <w:sz w:val="30"/>
              </w:rPr>
              <w:t>ระยะทาง (กม.)</w:t>
            </w:r>
          </w:p>
        </w:tc>
        <w:tc>
          <w:tcPr>
            <w:tcW w:type="dxa" w:w="1440"/>
            <w:shd w:val="clear" w:fill="0B1E3F"/>
          </w:tcPr>
          <w:p>
            <w:r/>
            <w:r>
              <w:rPr>
                <w:rFonts w:ascii="TH Sarabun New" w:hAnsi="TH Sarabun New" w:cs="TH Sarabun New"/>
                <w:b/>
                <w:color w:val="FFFFFF"/>
                <w:sz w:val="30"/>
              </w:rPr>
              <w:t>สัดส่วน</w:t>
            </w:r>
          </w:p>
        </w:tc>
      </w:tr>
      <w:tr>
        <w:tc>
          <w:tcPr>
            <w:tcW w:type="dxa" w:w="4608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กรมส่งเสริมการปกครองท้องถิ่น (อปท.)</w:t>
            </w:r>
          </w:p>
        </w:tc>
        <w:tc>
          <w:tcPr>
            <w:tcW w:type="dxa" w:w="2304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597,666.9</w:t>
            </w:r>
          </w:p>
        </w:tc>
        <w:tc>
          <w:tcPr>
            <w:tcW w:type="dxa" w:w="1440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84.6%</w:t>
            </w:r>
          </w:p>
        </w:tc>
      </w:tr>
      <w:tr>
        <w:tc>
          <w:tcPr>
            <w:tcW w:type="dxa" w:w="4608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กรมทางหลวง (ทล.)</w:t>
            </w:r>
          </w:p>
        </w:tc>
        <w:tc>
          <w:tcPr>
            <w:tcW w:type="dxa" w:w="2304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52,383.6</w:t>
            </w:r>
          </w:p>
        </w:tc>
        <w:tc>
          <w:tcPr>
            <w:tcW w:type="dxa" w:w="1440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7.4%</w:t>
            </w:r>
          </w:p>
        </w:tc>
      </w:tr>
      <w:tr>
        <w:tc>
          <w:tcPr>
            <w:tcW w:type="dxa" w:w="4608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กรมทางหลวงชนบท (ทช.)</w:t>
            </w:r>
          </w:p>
        </w:tc>
        <w:tc>
          <w:tcPr>
            <w:tcW w:type="dxa" w:w="2304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51,295.9</w:t>
            </w:r>
          </w:p>
        </w:tc>
        <w:tc>
          <w:tcPr>
            <w:tcW w:type="dxa" w:w="1440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7.3%</w:t>
            </w:r>
          </w:p>
        </w:tc>
      </w:tr>
      <w:tr>
        <w:tc>
          <w:tcPr>
            <w:tcW w:type="dxa" w:w="4608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กรุงเทพมหานคร (กทม.)</w:t>
            </w:r>
          </w:p>
        </w:tc>
        <w:tc>
          <w:tcPr>
            <w:tcW w:type="dxa" w:w="2304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4,549.9</w:t>
            </w:r>
          </w:p>
        </w:tc>
        <w:tc>
          <w:tcPr>
            <w:tcW w:type="dxa" w:w="1440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0.6%</w:t>
            </w:r>
          </w:p>
        </w:tc>
      </w:tr>
      <w:tr>
        <w:tc>
          <w:tcPr>
            <w:tcW w:type="dxa" w:w="4608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การทางพิเศษ (กทพ.)</w:t>
            </w:r>
          </w:p>
        </w:tc>
        <w:tc>
          <w:tcPr>
            <w:tcW w:type="dxa" w:w="2304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224.6</w:t>
            </w:r>
          </w:p>
        </w:tc>
        <w:tc>
          <w:tcPr>
            <w:tcW w:type="dxa" w:w="1440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0.03%</w:t>
            </w:r>
          </w:p>
        </w:tc>
      </w:tr>
      <w:tr>
        <w:tc>
          <w:tcPr>
            <w:tcW w:type="dxa" w:w="4608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รวมทั้งประเทศ</w:t>
            </w:r>
          </w:p>
        </w:tc>
        <w:tc>
          <w:tcPr>
            <w:tcW w:type="dxa" w:w="2304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706,120.9</w:t>
            </w:r>
          </w:p>
        </w:tc>
        <w:tc>
          <w:tcPr>
            <w:tcW w:type="dxa" w:w="1440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100%</w:t>
            </w:r>
          </w:p>
        </w:tc>
      </w:tr>
    </w:tbl>
    <w:p>
      <w:pPr>
        <w:spacing w:after="80"/>
      </w:pPr>
    </w:p>
    <w:p>
      <w:pPr>
        <w:spacing w:after="120" w:line="240" w:lineRule="auto"/>
        <w:ind w:firstLine="720"/>
      </w:pPr>
      <w:r>
        <w:rPr>
          <w:rFonts w:ascii="TH Sarabun New" w:hAnsi="TH Sarabun New" w:cs="TH Sarabun New"/>
          <w:b w:val="0"/>
          <w:sz w:val="32"/>
        </w:rPr>
        <w:t>หมายเหตุ ตัวเลขระยะทางของ อปท. (597,666.9 กม.) คงที่ตั้งแต่ปี พ.ศ. 2562 ในชุดข้อมูล จึงอาจมิได้ปรับปรุงต่อเนื่อง สัดส่วนถนนท้องถิ่นจริงอาจสูงกว่านี้ (ที่มา: MOT Data Catalog · ระยะทางถนน 2560–2568)</w:t>
      </w:r>
    </w:p>
    <w:p>
      <w:pPr>
        <w:spacing w:before="120" w:after="40"/>
      </w:pPr>
      <w:r>
        <w:rPr>
          <w:rFonts w:ascii="TH Sarabun New" w:hAnsi="TH Sarabun New" w:cs="TH Sarabun New"/>
          <w:b/>
          <w:color w:val="0B1E3F"/>
          <w:sz w:val="32"/>
        </w:rPr>
        <w:t>๓) ความสูญเสียบนโครงข่ายของกระทรวงคมนาคม (พ.ศ. 2568)</w:t>
      </w:r>
    </w:p>
    <w:p>
      <w:pPr>
        <w:spacing w:after="120" w:line="240" w:lineRule="auto"/>
        <w:ind w:firstLine="720"/>
      </w:pPr>
      <w:r>
        <w:rPr>
          <w:rFonts w:ascii="TH Sarabun New" w:hAnsi="TH Sarabun New" w:cs="TH Sarabun New"/>
          <w:b w:val="0"/>
          <w:sz w:val="32"/>
        </w:rPr>
        <w:t>แม้ถือครองระยะทางเพียงร้อยละ 14.7 แต่โครงข่ายคมนาคมกลับรองรับความสูญเสียสูงกว่ามาก เพราะเป็นถนนสายหลักที่มีปริมาณ จราจรและความเร็วสูง โดยมีผู้เสียชีวิตรวม 2,783 คน คิดเป็นราวร้อยละ 16 ของผู้เสียชีวิตทางถนนทั้งประเทศ (ประมาณ 17,000 คนต่อปี จากระบบบูรณาการ 3 ฐาน)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05"/>
        <w:gridCol w:w="1805"/>
        <w:gridCol w:w="1805"/>
        <w:gridCol w:w="1805"/>
        <w:gridCol w:w="1805"/>
      </w:tblGrid>
      <w:tr>
        <w:tc>
          <w:tcPr>
            <w:tcW w:type="dxa" w:w="2592"/>
            <w:shd w:val="clear" w:fill="0B1E3F"/>
          </w:tcPr>
          <w:p>
            <w:r/>
            <w:r>
              <w:rPr>
                <w:rFonts w:ascii="TH Sarabun New" w:hAnsi="TH Sarabun New" w:cs="TH Sarabun New"/>
                <w:b/>
                <w:color w:val="FFFFFF"/>
                <w:sz w:val="30"/>
              </w:rPr>
              <w:t>โครงข่าย</w:t>
            </w:r>
          </w:p>
        </w:tc>
        <w:tc>
          <w:tcPr>
            <w:tcW w:type="dxa" w:w="1440"/>
            <w:shd w:val="clear" w:fill="0B1E3F"/>
          </w:tcPr>
          <w:p>
            <w:r/>
            <w:r>
              <w:rPr>
                <w:rFonts w:ascii="TH Sarabun New" w:hAnsi="TH Sarabun New" w:cs="TH Sarabun New"/>
                <w:b/>
                <w:color w:val="FFFFFF"/>
                <w:sz w:val="30"/>
              </w:rPr>
              <w:t>อุบัติเหตุ</w:t>
            </w:r>
          </w:p>
        </w:tc>
        <w:tc>
          <w:tcPr>
            <w:tcW w:type="dxa" w:w="1440"/>
            <w:shd w:val="clear" w:fill="0B1E3F"/>
          </w:tcPr>
          <w:p>
            <w:r/>
            <w:r>
              <w:rPr>
                <w:rFonts w:ascii="TH Sarabun New" w:hAnsi="TH Sarabun New" w:cs="TH Sarabun New"/>
                <w:b/>
                <w:color w:val="FFFFFF"/>
                <w:sz w:val="30"/>
              </w:rPr>
              <w:t>เสียชีวิต</w:t>
            </w:r>
          </w:p>
        </w:tc>
        <w:tc>
          <w:tcPr>
            <w:tcW w:type="dxa" w:w="1584"/>
            <w:shd w:val="clear" w:fill="0B1E3F"/>
          </w:tcPr>
          <w:p>
            <w:r/>
            <w:r>
              <w:rPr>
                <w:rFonts w:ascii="TH Sarabun New" w:hAnsi="TH Sarabun New" w:cs="TH Sarabun New"/>
                <w:b/>
                <w:color w:val="FFFFFF"/>
                <w:sz w:val="30"/>
              </w:rPr>
              <w:t>บาดเจ็บสาหัส</w:t>
            </w:r>
          </w:p>
        </w:tc>
        <w:tc>
          <w:tcPr>
            <w:tcW w:type="dxa" w:w="1440"/>
            <w:shd w:val="clear" w:fill="0B1E3F"/>
          </w:tcPr>
          <w:p>
            <w:r/>
            <w:r>
              <w:rPr>
                <w:rFonts w:ascii="TH Sarabun New" w:hAnsi="TH Sarabun New" w:cs="TH Sarabun New"/>
                <w:b/>
                <w:color w:val="FFFFFF"/>
                <w:sz w:val="30"/>
              </w:rPr>
              <w:t>บาดเจ็บรวม</w:t>
            </w:r>
          </w:p>
        </w:tc>
      </w:tr>
      <w:tr>
        <w:tc>
          <w:tcPr>
            <w:tcW w:type="dxa" w:w="2592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กรมทางหลวง (ทล.)</w:t>
            </w:r>
          </w:p>
        </w:tc>
        <w:tc>
          <w:tcPr>
            <w:tcW w:type="dxa" w:w="1440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22,377</w:t>
            </w:r>
          </w:p>
        </w:tc>
        <w:tc>
          <w:tcPr>
            <w:tcW w:type="dxa" w:w="1440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2,539</w:t>
            </w:r>
          </w:p>
        </w:tc>
        <w:tc>
          <w:tcPr>
            <w:tcW w:type="dxa" w:w="1584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2,640</w:t>
            </w:r>
          </w:p>
        </w:tc>
        <w:tc>
          <w:tcPr>
            <w:tcW w:type="dxa" w:w="1440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18,469</w:t>
            </w:r>
          </w:p>
        </w:tc>
      </w:tr>
      <w:tr>
        <w:tc>
          <w:tcPr>
            <w:tcW w:type="dxa" w:w="2592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กรมทางหลวงชนบท (ทช.)</w:t>
            </w:r>
          </w:p>
        </w:tc>
        <w:tc>
          <w:tcPr>
            <w:tcW w:type="dxa" w:w="1440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757</w:t>
            </w:r>
          </w:p>
        </w:tc>
        <w:tc>
          <w:tcPr>
            <w:tcW w:type="dxa" w:w="1440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239</w:t>
            </w:r>
          </w:p>
        </w:tc>
        <w:tc>
          <w:tcPr>
            <w:tcW w:type="dxa" w:w="1584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168</w:t>
            </w:r>
          </w:p>
        </w:tc>
        <w:tc>
          <w:tcPr>
            <w:tcW w:type="dxa" w:w="1440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691</w:t>
            </w:r>
          </w:p>
        </w:tc>
      </w:tr>
      <w:tr>
        <w:tc>
          <w:tcPr>
            <w:tcW w:type="dxa" w:w="2592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การทางพิเศษ (ทางด่วน)</w:t>
            </w:r>
          </w:p>
        </w:tc>
        <w:tc>
          <w:tcPr>
            <w:tcW w:type="dxa" w:w="1440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581</w:t>
            </w:r>
          </w:p>
        </w:tc>
        <w:tc>
          <w:tcPr>
            <w:tcW w:type="dxa" w:w="1440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5</w:t>
            </w:r>
          </w:p>
        </w:tc>
        <w:tc>
          <w:tcPr>
            <w:tcW w:type="dxa" w:w="1584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0</w:t>
            </w:r>
          </w:p>
        </w:tc>
        <w:tc>
          <w:tcPr>
            <w:tcW w:type="dxa" w:w="1440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315</w:t>
            </w:r>
          </w:p>
        </w:tc>
      </w:tr>
      <w:tr>
        <w:tc>
          <w:tcPr>
            <w:tcW w:type="dxa" w:w="2592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รวมโครงข่ายคมนาคม</w:t>
            </w:r>
          </w:p>
        </w:tc>
        <w:tc>
          <w:tcPr>
            <w:tcW w:type="dxa" w:w="1440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23,715</w:t>
            </w:r>
          </w:p>
        </w:tc>
        <w:tc>
          <w:tcPr>
            <w:tcW w:type="dxa" w:w="1440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2,783</w:t>
            </w:r>
          </w:p>
        </w:tc>
        <w:tc>
          <w:tcPr>
            <w:tcW w:type="dxa" w:w="1584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2,808</w:t>
            </w:r>
          </w:p>
        </w:tc>
        <w:tc>
          <w:tcPr>
            <w:tcW w:type="dxa" w:w="1440"/>
          </w:tcPr>
          <w:p>
            <w:r/>
            <w:r>
              <w:rPr>
                <w:rFonts w:ascii="TH Sarabun New" w:hAnsi="TH Sarabun New" w:cs="TH Sarabun New"/>
                <w:b w:val="0"/>
                <w:sz w:val="30"/>
              </w:rPr>
              <w:t>19,475</w:t>
            </w:r>
          </w:p>
        </w:tc>
      </w:tr>
    </w:tbl>
    <w:p>
      <w:pPr>
        <w:spacing w:after="80"/>
      </w:pPr>
    </w:p>
    <w:p>
      <w:pPr>
        <w:spacing w:after="120" w:line="240" w:lineRule="auto"/>
        <w:ind w:firstLine="720"/>
      </w:pPr>
      <w:r>
        <w:rPr>
          <w:rFonts w:ascii="TH Sarabun New" w:hAnsi="TH Sarabun New" w:cs="TH Sarabun New"/>
          <w:b w:val="0"/>
          <w:sz w:val="32"/>
        </w:rPr>
        <w:t>หมายเหตุสำคัญ ตัวเลขของกรมทางหลวงชนบท (757 อุบัติเหตุ 239 เสียชีวิต) ต่ำผิดสัดส่วนเทียบระยะทาง 51,296 กม. เพราะ ระบบรายงาน ARMS ของกรมทางหลวงชนบทครอบคลุมน้อยกว่าระบบ HAIMS ของกรมทางหลวงมาก จึงเป็นการรายงานต่ำกว่าจริง (under-reporting) มิใช่ว่าถนนของกรมทางหลวงชนบทปลอดภัยกว่า เมื่อพิจารณาความเข้มข้นต่อระยะทาง กรมทางหลวงมีผู้เสีย ชีวิตราว 48 คนต่อ 1,000 กิโลเมตร ซึ่งสูงที่สุด (ที่มา: MOT Data Catalog · อุบัติเหตุโครงข่ายคมนาคม 2568)</w:t>
      </w:r>
    </w:p>
    <w:p>
      <w:pPr>
        <w:spacing w:before="120" w:after="40"/>
      </w:pPr>
      <w:r>
        <w:rPr>
          <w:rFonts w:ascii="TH Sarabun New" w:hAnsi="TH Sarabun New" w:cs="TH Sarabun New"/>
          <w:b/>
          <w:color w:val="0B1E3F"/>
          <w:sz w:val="32"/>
        </w:rPr>
        <w:t>๔) ทำไมต้องเริ่มที่ “ทางแยก”</w:t>
      </w:r>
    </w:p>
    <w:p>
      <w:pPr>
        <w:spacing w:after="120" w:line="240" w:lineRule="auto"/>
        <w:ind w:firstLine="720"/>
      </w:pPr>
      <w:r>
        <w:rPr>
          <w:rFonts w:ascii="TH Sarabun New" w:hAnsi="TH Sarabun New" w:cs="TH Sarabun New"/>
          <w:b w:val="0"/>
          <w:sz w:val="32"/>
        </w:rPr>
        <w:t>ภายในโครงข่ายของกรมทางหลวงซึ่งรองรับความสูญเสียเข้มข้นและมีระบบข้อมูล HAIMS ดีที่สุด จุดที่กรมลงมือแก้ได้เองด้วยการ ควบคุมสัญญาณและเรขาคณิตคือ “ทางแยก” แม้บนทางหลวงสายหลักระหว่างเมืองอุบัติเหตุที่ทางแยกจะเป็นสัดส่วนน้อย (ส่วนใหญ่ เป็นอุบัติเหตุบนทางตรงจากความเร็ว) แต่บนถนนในเมืองสัดส่วนที่ทางแยกสูงเกินร้อยละ 50 และมาตรฐาน FHWA ของสหรัฐฯ ระบุ ว่าราวหนึ่งในสี่ของผู้เสียชีวิตและราวครึ่งหนึ่งของผู้บาดเจ็บเกิดที่ทางแยก ทางแยกจึงเป็นจุดที่ควบคุมได้ด้วยอำนาจดำเนินการของ กรม ต่างจากอุบัติเหตุบนทางตรงที่ขึ้นกับพฤติกรรมผู้ขับขี่ จึงเหมาะเป็นจุดตั้งต้นของการประยุกต์ปัญญาประดิษฐ์ ดังรายละเอียด ในหัวข้อถัดไป</w:t>
      </w:r>
    </w:p>
    <w:p>
      <w:pPr>
        <w:pStyle w:val="Heading2"/>
        <w:keepNext/>
        <w:spacing w:before="200" w:after="80"/>
      </w:pPr>
      <w:r>
        <w:rPr>
          <w:rFonts w:ascii="TH Sarabun New" w:hAnsi="TH Sarabun New" w:cs="TH Sarabun New" w:eastAsia="TH Sarabun New"/>
          <w:b/>
          <w:i w:val="0"/>
          <w:color w:val="0B1E3F"/>
          <w:sz w:val="34"/>
          <w:szCs w:val="34"/>
          <w:bCs/>
        </w:rPr>
        <w:t>๒.๒  สภาพปัญหาและความท้าทาย</w:t>
      </w:r>
    </w:p>
    <w:p>
      <w:pPr>
        <w:spacing w:before="0" w:after="12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ปัญหาจราจรที่ทางแยกบนโครงข่ายทางหลวงของกรมสามารถจำแนกได้เป็น ๕ ด้านหลัก ดังนี้</w:t>
      </w:r>
    </w:p>
    <w:p>
      <w:pPr>
        <w:pStyle w:val="ListBullet"/>
        <w:spacing w:after="8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ความปลอดภัยที่ทางแยก — กว่าร้อยละ ๕๐ ของอุบัติเหตุทางถนนเกิดขึ้นที่ทางแยก ขณะที่กรอบทศวรรษแห่งความปลอดภัยทางถนนของ UN ตั้งเป้าลดผู้เสียชีวิตลงครึ่งหนึ่งภายในปี พ.ศ. ๒๕๗๓</w:t>
      </w:r>
    </w:p>
    <w:p>
      <w:pPr>
        <w:pStyle w:val="ListBullet"/>
        <w:spacing w:after="8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ความคล่องตัวและประสิทธิภาพ — ทางแยกจำนวนมากยังใช้สัญญาณไฟแบบ Fixed-time หรือระบบ Two-way Stop Control (TWSC) ที่ให้บริการในระดับ LOS E–F ในชั่วโมงเร่งด่วน ขณะที่เทคโนโลยี Adaptive Traffic Control สามารถลดความล่าช้าได้ร้อยละ ๑๐–๔๐</w:t>
      </w:r>
    </w:p>
    <w:p>
      <w:pPr>
        <w:pStyle w:val="ListBullet"/>
        <w:spacing w:after="8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ด้านสิ่งแวดล้อม — การจราจรติดขัดเพิ่มการปล่อยคาร์บอนและมลพิษ การใช้สัญญาณไฟอัจฉริยะสามารถลด CO₂ ได้ร้อยละ ๑๕–๔๐ และลดการสิ้นเปลืองเชื้อเพลิงได้ร้อยละ ๑๐–๑๕</w:t>
      </w:r>
    </w:p>
    <w:p>
      <w:pPr>
        <w:pStyle w:val="ListBullet"/>
        <w:spacing w:after="8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การอยู่ร่วมกับประชาชน — ผู้ใช้ทางที่เปราะบาง (คนเดินเท้า มอเตอร์ไซค์ ผู้สูงอายุ) มีความเสี่ยงสูง โดยมอเตอร์ไซค์คิดเป็นราวร้อยละ ๘๔ ของผู้เสียชีวิตจากอุบัติเหตุทางถนนในประเทศไทย</w:t>
      </w:r>
    </w:p>
    <w:p>
      <w:pPr>
        <w:pStyle w:val="ListBullet"/>
        <w:spacing w:after="8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การตัดสินใจที่ขาดข้อมูลเชิงระบบ — ยังขาดเครื่องมือประเมินผลเชิงปริมาณครบทุกมิติพร้อมกัน และขาดการจำลองสถานการณ์ก่อนการลงทุน</w:t>
      </w:r>
    </w:p>
    <w:p>
      <w:pPr>
        <w:pStyle w:val="Heading2"/>
        <w:keepNext/>
        <w:spacing w:before="200" w:after="80"/>
      </w:pPr>
      <w:r>
        <w:rPr>
          <w:rFonts w:ascii="TH Sarabun New" w:hAnsi="TH Sarabun New" w:cs="TH Sarabun New" w:eastAsia="TH Sarabun New"/>
          <w:b/>
          <w:i w:val="0"/>
          <w:color w:val="0B1E3F"/>
          <w:sz w:val="34"/>
          <w:szCs w:val="34"/>
          <w:bCs/>
        </w:rPr>
        <w:t>๒.๓  ความสอดคล้องเชิงยุทธศาสตร์และนโยบาย</w:t>
      </w:r>
    </w:p>
    <w:p>
      <w:pPr>
        <w:spacing w:before="0" w:after="12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ข้อเสนอนี้สอดคล้องกับยุทธศาสตร์และนโยบายในทุกระดับที่กำหนดไว้แล้ว ทั้งระดับชาติ ระดับกระทรวง และระดับกรม</w:t>
      </w:r>
    </w:p>
    <w:p>
      <w:pPr>
        <w:pStyle w:val="ListBullet"/>
        <w:spacing w:after="8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ยุทธศาสตร์ชาติ ๒๐ ปี (พ.ศ. ๒๕๖๑–๒๕๘๐) ด้านการสร้างความสามารถในการแข่งขัน และการปรับสมดุลและพัฒนาระบบการบริหารจัดการภาครัฐ</w:t>
      </w:r>
    </w:p>
    <w:p>
      <w:pPr>
        <w:pStyle w:val="ListBullet"/>
        <w:spacing w:after="8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แผนพัฒนาเศรษฐกิจและสังคมแห่งชาติ ฉบับที่ ๑๓ หมุดหมายที่ ๒ (โครงสร้างพื้นฐานคมนาคม) และหมุดหมายที่ ๑๓ (รัฐบาลที่ทันสมัย)</w:t>
      </w:r>
    </w:p>
    <w:p>
      <w:pPr>
        <w:pStyle w:val="ListBullet"/>
        <w:spacing w:after="8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แผนพัฒนารัฐบาลดิจิทัลของประเทศไทย พ.ศ. ๒๕๖๖–๒๕๗๐ (DGA)</w:t>
      </w:r>
    </w:p>
    <w:p>
      <w:pPr>
        <w:pStyle w:val="ListBullet"/>
        <w:spacing w:after="8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นโยบายกระทรวงคมนาคม “คมนาคมเพื่อโอกาสประเทศไทย” และนโยบายเร่งด่วนของรัฐบาล</w:t>
      </w:r>
    </w:p>
    <w:p>
      <w:pPr>
        <w:pStyle w:val="ListBullet"/>
        <w:spacing w:after="8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แผนปฏิบัติราชการกรมทางหลวง พ.ศ. ๒๕๖๖–๒๕๗๐ และแผนปฏิบัติการดิจิทัลกรมทางหลวง พ.ศ. ๒๕๖๖–๒๕๗๐</w:t>
      </w:r>
    </w:p>
    <w:p>
      <w:pPr>
        <w:pStyle w:val="ListBullet"/>
        <w:spacing w:after="8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แผนแม่บท MR-MAP ระยะ ๒๐ ปี และกรอบทศวรรษแห่งความปลอดภัยทางถนน พ.ศ. ๒๕๖๔–๒๕๗๓ ของ UN</w:t>
      </w:r>
    </w:p>
    <w:p>
      <w:pPr>
        <w:pStyle w:val="ListBullet"/>
        <w:spacing w:after="8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พระราชบัญญัติคุ้มครองข้อมูลส่วนบุคคล และพระราชบัญญัติการรักษาความมั่นคงปลอดภัยไซเบอร์ พ.ศ. ๒๕๖๒</w:t>
      </w:r>
    </w:p>
    <w:p>
      <w:pPr>
        <w:pStyle w:val="Heading1"/>
        <w:keepNext/>
        <w:spacing w:before="320" w:after="160"/>
      </w:pPr>
      <w:r>
        <w:rPr>
          <w:rFonts w:ascii="TH Sarabun New" w:hAnsi="TH Sarabun New" w:cs="TH Sarabun New" w:eastAsia="TH Sarabun New"/>
          <w:b/>
          <w:i w:val="0"/>
          <w:color w:val="0B1E3F"/>
          <w:sz w:val="40"/>
          <w:szCs w:val="40"/>
          <w:bCs/>
        </w:rPr>
        <w:t>บทที่ ๓  กรอบแนวคิดและข้อเสนอเชิงนโยบาย</w:t>
      </w:r>
    </w:p>
    <w:p>
      <w:pPr>
        <w:pStyle w:val="Heading2"/>
        <w:keepNext/>
        <w:spacing w:before="200" w:after="80"/>
      </w:pPr>
      <w:r>
        <w:rPr>
          <w:rFonts w:ascii="TH Sarabun New" w:hAnsi="TH Sarabun New" w:cs="TH Sarabun New" w:eastAsia="TH Sarabun New"/>
          <w:b/>
          <w:i w:val="0"/>
          <w:color w:val="0B1E3F"/>
          <w:sz w:val="34"/>
          <w:szCs w:val="34"/>
          <w:bCs/>
        </w:rPr>
        <w:t>๓.๑  กรอบแนวคิด: AI สำหรับการแก้ปัญหาจราจรครบ ๔ มิติ</w:t>
      </w:r>
    </w:p>
    <w:p>
      <w:pPr>
        <w:spacing w:before="0" w:after="12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ผู้เสนอได้สังเคราะห์กรอบแนวคิดการประยุกต์ปัญญาประดิษฐ์กับงานวิศวกรรมจราจร โดยจัดวางเป็น ๔ มิติ ของจราจรที่มีประสิทธิภาพ ที่กรมจะดำเนินการพร้อมกันในทุกการปรับปรุงทางแยก หลักการสำคัญคือ ทุกการปรับปรุงทางแยกต้อง “ดีกว่าทุกมิติพร้อมกัน” โดยใช้ AI ประเมินทางเลือกอย่างเป็นวิทยาศาสตร์ และต้องผ่านการจำลองสถานการณ์ก่อนการลงทุนจริง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8C4D0"/>
          <w:left w:val="single" w:sz="4" w:space="0" w:color="B8C4D0"/>
          <w:bottom w:val="single" w:sz="4" w:space="0" w:color="B8C4D0"/>
          <w:right w:val="single" w:sz="4" w:space="0" w:color="B8C4D0"/>
          <w:insideH w:val="single" w:sz="4" w:space="0" w:color="B8C4D0"/>
          <w:insideV w:val="single" w:sz="4" w:space="0" w:color="B8C4D0"/>
        </w:tblBorders>
      </w:tblPr>
      <w:tblGrid>
        <w:gridCol w:w="3009"/>
        <w:gridCol w:w="3009"/>
        <w:gridCol w:w="3009"/>
      </w:tblGrid>
      <w:tr>
        <w:tc>
          <w:tcPr>
            <w:tcW w:type="dxa" w:w="1800"/>
            <w:shd w:val="clear" w:color="auto" w:fill="0B1E3F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/>
                <w:i w:val="0"/>
                <w:color w:val="FFFFFF"/>
                <w:sz w:val="29"/>
                <w:szCs w:val="29"/>
                <w:bCs/>
              </w:rPr>
              <w:t>มิติ</w:t>
            </w:r>
          </w:p>
        </w:tc>
        <w:tc>
          <w:tcPr>
            <w:tcW w:type="dxa" w:w="4104"/>
            <w:shd w:val="clear" w:color="auto" w:fill="0B1E3F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/>
                <w:i w:val="0"/>
                <w:color w:val="FFFFFF"/>
                <w:sz w:val="29"/>
                <w:szCs w:val="29"/>
                <w:bCs/>
              </w:rPr>
              <w:t>เทคโนโลยี AI / เครื่องมือสนับสนุน</w:t>
            </w:r>
          </w:p>
        </w:tc>
        <w:tc>
          <w:tcPr>
            <w:tcW w:type="dxa" w:w="3168"/>
            <w:shd w:val="clear" w:color="auto" w:fill="0B1E3F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/>
                <w:i w:val="0"/>
                <w:color w:val="FFFFFF"/>
                <w:sz w:val="29"/>
                <w:szCs w:val="29"/>
                <w:bCs/>
              </w:rPr>
              <w:t>ตัวชี้วัดประจำมิติ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๑. ความคล่องตัว</w:t>
            </w:r>
          </w:p>
          <w:p>
            <w:pPr>
              <w:spacing w:after="20" w:before="20" w:line="240" w:lineRule="auto"/>
              <w:jc w:val="left"/>
            </w:pPr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(Efficiency)</w:t>
            </w:r>
          </w:p>
        </w:tc>
        <w:tc>
          <w:tcPr>
            <w:tcW w:type="dxa" w:w="410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Adaptive Traffic Control · Deep Reinforcement Learning · PTV VISSIM · พยากรณ์ปริมาณจราจรช่วงเทศกาล</w:t>
            </w:r>
          </w:p>
        </w:tc>
        <w:tc>
          <w:tcPr>
            <w:tcW w:type="dxa" w:w="3168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LOS · Delay (วินาที/คัน) · v/c Ratio · เวลาเดินทางเฉลี่ย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๒. ความปลอดภัย</w:t>
            </w:r>
          </w:p>
          <w:p>
            <w:pPr>
              <w:spacing w:after="20" w:before="20" w:line="240" w:lineRule="auto"/>
              <w:jc w:val="left"/>
            </w:pPr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(Safety)</w:t>
            </w:r>
          </w:p>
        </w:tc>
        <w:tc>
          <w:tcPr>
            <w:tcW w:type="dxa" w:w="410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Computer Vision ตรวจจับจุดขัดแย้งและผู้ใช้ทางเปราะบาง · Surrogate Safety Measures · FHWA SSAM</w:t>
            </w:r>
          </w:p>
        </w:tc>
        <w:tc>
          <w:tcPr>
            <w:tcW w:type="dxa" w:w="3168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จำนวนจุดขัดแย้ง · อัตราอุบัติเหตุ · TTC · PET · เป้า UN ลดผู้เสียชีวิตครึ่งหนึ่ง ปี ๒๕๗๓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๓. สิ่งแวดล้อม</w:t>
            </w:r>
          </w:p>
          <w:p>
            <w:pPr>
              <w:spacing w:after="20" w:before="20" w:line="240" w:lineRule="auto"/>
              <w:jc w:val="left"/>
            </w:pPr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(Environmental)</w:t>
            </w:r>
          </w:p>
        </w:tc>
        <w:tc>
          <w:tcPr>
            <w:tcW w:type="dxa" w:w="410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EPA MOVES · Eco-Adaptive Signal · ลดการเร่ง-เบรกซ้ำที่ทางแยก · ประเมินคาร์บอนตลอดวงจรชีวิต</w:t>
            </w:r>
          </w:p>
        </w:tc>
        <w:tc>
          <w:tcPr>
            <w:tcW w:type="dxa" w:w="3168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CO₂ (กก./วัน) · การสิ้นเปลืองเชื้อเพลิง · NOx, PM · ดัชนีความยั่งยืน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๔. ประชาชน</w:t>
            </w:r>
          </w:p>
          <w:p>
            <w:pPr>
              <w:spacing w:after="20" w:before="20" w:line="240" w:lineRule="auto"/>
              <w:jc w:val="left"/>
            </w:pPr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(Community)</w:t>
            </w:r>
          </w:p>
        </w:tc>
        <w:tc>
          <w:tcPr>
            <w:tcW w:type="dxa" w:w="410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ออกแบบทางแยกคำนึงผู้ใช้ทางเปราะบาง · การมีส่วนร่วมผ่านสายด่วน ๑๕๘๖ · NLP วิเคราะห์ข้อร้องเรียน</w:t>
            </w:r>
          </w:p>
        </w:tc>
        <w:tc>
          <w:tcPr>
            <w:tcW w:type="dxa" w:w="3168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ความพึงพอใจชุมชน · ความปลอดภัยคนเดินเท้า/มอเตอร์ไซค์ · จำนวนข้อร้องเรียน · คะแนนการมีส่วนร่วม</w:t>
            </w:r>
          </w:p>
        </w:tc>
      </w:tr>
    </w:tbl>
    <w:p>
      <w:pPr>
        <w:spacing w:after="80"/>
      </w:pPr>
    </w:p>
    <w:p>
      <w:pPr>
        <w:pStyle w:val="Heading2"/>
        <w:keepNext/>
        <w:spacing w:before="200" w:after="80"/>
      </w:pPr>
      <w:r>
        <w:rPr>
          <w:rFonts w:ascii="TH Sarabun New" w:hAnsi="TH Sarabun New" w:cs="TH Sarabun New" w:eastAsia="TH Sarabun New"/>
          <w:b/>
          <w:i w:val="0"/>
          <w:color w:val="0B1E3F"/>
          <w:sz w:val="34"/>
          <w:szCs w:val="34"/>
          <w:bCs/>
        </w:rPr>
        <w:t>๓.๒  ข้อเสนอเชิงนโยบาย ๕ เสาหลัก</w:t>
      </w:r>
    </w:p>
    <w:p>
      <w:pPr>
        <w:spacing w:after="120" w:line="276" w:lineRule="auto"/>
        <w:jc w:val="both"/>
      </w:pP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 xml:space="preserve">เสาที่ ๑ · บุคลากรวิศวกรรมจราจร — </w:t>
      </w: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พัฒนาขีดความสามารถของวิศวกรจราจรของกรมในการใช้ PTV VISSIM, FHWA SSAM และ EPA MOVES ผ่านสถาบันพัฒนาบุคลากรกรมทางหลวงและความร่วมมือกับสถาบันการศึกษา</w:t>
      </w:r>
    </w:p>
    <w:p>
      <w:pPr>
        <w:spacing w:after="120" w:line="276" w:lineRule="auto"/>
        <w:jc w:val="both"/>
      </w:pP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 xml:space="preserve">เสาที่ ๒ · กระบวนงานออกแบบทางแยก — </w:t>
      </w: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กำหนดให้ทุกโครงการปรับปรุงทางแยกต้องผ่านการประเมินครบ ๔ มิติ (MCDA) และจำลองสถานการณ์ด้วยเครื่องมือมาตรฐานก่อนการลงทุน</w:t>
      </w:r>
    </w:p>
    <w:p>
      <w:pPr>
        <w:spacing w:after="120" w:line="276" w:lineRule="auto"/>
        <w:jc w:val="both"/>
      </w:pP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 xml:space="preserve">เสาที่ ๓ · แพลตฟอร์มและข้อมูล — </w:t>
      </w: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พัฒนาคลังข้อมูลจราจรของกรมจากระบบที่มีอยู่ (Roadnet, สำนักอำนวยความปลอดภัย, การสำรวจปริมาณจราจร) ผนวกข้อมูลสายด่วน ๑๕๘๖ และแอป Highway Traffic เพื่อสนับสนุนการตัดสินใจ</w:t>
      </w:r>
    </w:p>
    <w:p>
      <w:pPr>
        <w:spacing w:after="120" w:line="276" w:lineRule="auto"/>
        <w:jc w:val="both"/>
      </w:pP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 xml:space="preserve">เสาที่ ๔ · พันธมิตรทางวิชาการ — </w:t>
      </w: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สร้างความร่วมมือกับ สวทช., NECTEC, สถาบันการศึกษา และองค์กรชั้นนำระดับโลก เช่น U.S. FHWA และ Transport for London</w:t>
      </w:r>
    </w:p>
    <w:p>
      <w:pPr>
        <w:spacing w:after="120" w:line="276" w:lineRule="auto"/>
        <w:jc w:val="both"/>
      </w:pPr>
      <w:r>
        <w:rPr>
          <w:rFonts w:ascii="TH Sarabun New" w:hAnsi="TH Sarabun New" w:cs="TH Sarabun New" w:eastAsia="TH Sarabun New"/>
          <w:b/>
          <w:i w:val="0"/>
          <w:color w:val="0B1E3F"/>
          <w:sz w:val="32"/>
          <w:szCs w:val="32"/>
          <w:bCs/>
        </w:rPr>
        <w:t xml:space="preserve">เสาที่ ๕ · ธรรมาภิบาลและความปลอดภัย — </w:t>
      </w: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จัดทำกรอบธรรมาภิบาล AI สอดคล้อง PDPA และ พ.ร.บ. ไซเบอร์ฯ พ.ศ. ๒๕๖๒ ยึดหลัก “วิศวกรเป็นผู้รับผิดชอบสุดท้าย” โดย AI เป็นเพียงเครื่องมือสนับสนุน</w:t>
      </w:r>
    </w:p>
    <w:p>
      <w:pPr>
        <w:pStyle w:val="Heading1"/>
        <w:keepNext/>
        <w:spacing w:before="320" w:after="160"/>
      </w:pPr>
      <w:r>
        <w:rPr>
          <w:rFonts w:ascii="TH Sarabun New" w:hAnsi="TH Sarabun New" w:cs="TH Sarabun New" w:eastAsia="TH Sarabun New"/>
          <w:b/>
          <w:i w:val="0"/>
          <w:color w:val="0B1E3F"/>
          <w:sz w:val="40"/>
          <w:szCs w:val="40"/>
          <w:bCs/>
        </w:rPr>
        <w:t>บทที่ ๔  แผนการนำไปสู่การปฏิบัติและกรอบงบประมาณ</w:t>
      </w:r>
    </w:p>
    <w:p>
      <w:pPr>
        <w:pStyle w:val="Heading2"/>
        <w:keepNext/>
        <w:spacing w:before="200" w:after="80"/>
      </w:pPr>
      <w:r>
        <w:rPr>
          <w:rFonts w:ascii="TH Sarabun New" w:hAnsi="TH Sarabun New" w:cs="TH Sarabun New" w:eastAsia="TH Sarabun New"/>
          <w:b/>
          <w:i w:val="0"/>
          <w:color w:val="0B1E3F"/>
          <w:sz w:val="34"/>
          <w:szCs w:val="34"/>
          <w:bCs/>
        </w:rPr>
        <w:t>๔.๑  แผนการนำนโยบายไปสู่การปฏิบัติ ๓ ระยะ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8C4D0"/>
          <w:left w:val="single" w:sz="4" w:space="0" w:color="B8C4D0"/>
          <w:bottom w:val="single" w:sz="4" w:space="0" w:color="B8C4D0"/>
          <w:right w:val="single" w:sz="4" w:space="0" w:color="B8C4D0"/>
          <w:insideH w:val="single" w:sz="4" w:space="0" w:color="B8C4D0"/>
          <w:insideV w:val="single" w:sz="4" w:space="0" w:color="B8C4D0"/>
        </w:tblBorders>
      </w:tblPr>
      <w:tblGrid>
        <w:gridCol w:w="3009"/>
        <w:gridCol w:w="3009"/>
        <w:gridCol w:w="3009"/>
      </w:tblGrid>
      <w:tr>
        <w:tc>
          <w:tcPr>
            <w:tcW w:type="dxa" w:w="1872"/>
            <w:shd w:val="clear" w:color="auto" w:fill="0B1E3F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/>
                <w:i w:val="0"/>
                <w:color w:val="FFFFFF"/>
                <w:sz w:val="29"/>
                <w:szCs w:val="29"/>
                <w:bCs/>
              </w:rPr>
              <w:t>ระยะ</w:t>
            </w:r>
          </w:p>
        </w:tc>
        <w:tc>
          <w:tcPr>
            <w:tcW w:type="dxa" w:w="1440"/>
            <w:shd w:val="clear" w:color="auto" w:fill="0B1E3F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/>
                <w:i w:val="0"/>
                <w:color w:val="FFFFFF"/>
                <w:sz w:val="29"/>
                <w:szCs w:val="29"/>
                <w:bCs/>
              </w:rPr>
              <w:t>ช่วงเวลา</w:t>
            </w:r>
          </w:p>
        </w:tc>
        <w:tc>
          <w:tcPr>
            <w:tcW w:type="dxa" w:w="5760"/>
            <w:shd w:val="clear" w:color="auto" w:fill="0B1E3F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/>
                <w:i w:val="0"/>
                <w:color w:val="FFFFFF"/>
                <w:sz w:val="29"/>
                <w:szCs w:val="29"/>
                <w:bCs/>
              </w:rPr>
              <w:t>กิจกรรมหลักและหน่วยงานเจ้าภาพภายในกรม</w:t>
            </w:r>
          </w:p>
        </w:tc>
      </w:tr>
      <w:tr>
        <w:tc>
          <w:tcPr>
            <w:tcW w:type="dxa" w:w="1872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ระยะที่ ๑</w:t>
            </w:r>
          </w:p>
          <w:p>
            <w:pPr>
              <w:spacing w:after="20" w:before="20" w:line="240" w:lineRule="auto"/>
              <w:jc w:val="left"/>
            </w:pPr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วางฐานราก</w:t>
            </w:r>
          </w:p>
        </w:tc>
        <w:tc>
          <w:tcPr>
            <w:tcW w:type="dxa" w:w="1440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๐–๖ เดือน</w:t>
            </w:r>
          </w:p>
        </w:tc>
        <w:tc>
          <w:tcPr>
            <w:tcW w:type="dxa" w:w="5760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จัดตั้งคณะทำงาน AI วิศวกรรมจราจร · กำหนดทางแยกวิกฤตจากข้อมูลอุบัติเหตุและสายด่วน ๑๕๘๖ · อบรม PTV VISSIM, FHWA SSAM, EPA MOVES ให้วิศวกรของกรม</w:t>
            </w:r>
          </w:p>
        </w:tc>
      </w:tr>
      <w:tr>
        <w:tc>
          <w:tcPr>
            <w:tcW w:type="dxa" w:w="1872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ระยะที่ ๒</w:t>
            </w:r>
          </w:p>
          <w:p>
            <w:pPr>
              <w:spacing w:after="20" w:before="20" w:line="240" w:lineRule="auto"/>
              <w:jc w:val="left"/>
            </w:pPr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นำร่องและขยายผล</w:t>
            </w:r>
          </w:p>
        </w:tc>
        <w:tc>
          <w:tcPr>
            <w:tcW w:type="dxa" w:w="1440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๖–๒๔ เดือน</w:t>
            </w:r>
          </w:p>
        </w:tc>
        <w:tc>
          <w:tcPr>
            <w:tcW w:type="dxa" w:w="5760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ปรับปรุงทางแยกวิกฤต ๑๐–๒๐ แห่งด้วยกรอบ ๔ มิติ · นำร่อง Adaptive Traffic Control · นำร่อง Computer Vision บนทางหลวงพิเศษ M6/M81 · ติดตาม Before-After Study</w:t>
            </w:r>
          </w:p>
        </w:tc>
      </w:tr>
      <w:tr>
        <w:tc>
          <w:tcPr>
            <w:tcW w:type="dxa" w:w="1872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ระยะที่ ๓</w:t>
            </w:r>
          </w:p>
          <w:p>
            <w:pPr>
              <w:spacing w:after="20" w:before="20" w:line="240" w:lineRule="auto"/>
              <w:jc w:val="left"/>
            </w:pPr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เป็นต้นแบบและยั่งยืน</w:t>
            </w:r>
          </w:p>
        </w:tc>
        <w:tc>
          <w:tcPr>
            <w:tcW w:type="dxa" w:w="1440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๒๔–๖๐ เดือน</w:t>
            </w:r>
          </w:p>
        </w:tc>
        <w:tc>
          <w:tcPr>
            <w:tcW w:type="dxa" w:w="5760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ขยาย ATC สู่ทางหลวงสายหลักทั่วประเทศ · พัฒนา Traffic Digital Twin · บูรณาการข้อมูลกับตำรวจจราจรและ กทม. · สร้างมาตรฐานการประเมินทางแยก ๔ มิติของกรม</w:t>
            </w:r>
          </w:p>
        </w:tc>
      </w:tr>
    </w:tbl>
    <w:p>
      <w:pPr>
        <w:spacing w:after="80"/>
      </w:pPr>
    </w:p>
    <w:p>
      <w:pPr>
        <w:pStyle w:val="Heading2"/>
        <w:keepNext/>
        <w:spacing w:before="200" w:after="80"/>
      </w:pPr>
      <w:r>
        <w:rPr>
          <w:rFonts w:ascii="TH Sarabun New" w:hAnsi="TH Sarabun New" w:cs="TH Sarabun New" w:eastAsia="TH Sarabun New"/>
          <w:b/>
          <w:i w:val="0"/>
          <w:color w:val="0B1E3F"/>
          <w:sz w:val="34"/>
          <w:szCs w:val="34"/>
          <w:bCs/>
        </w:rPr>
        <w:t>๔.๒  กรอบประมาณการงบประมาณเชิงทิศทาง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8C4D0"/>
          <w:left w:val="single" w:sz="4" w:space="0" w:color="B8C4D0"/>
          <w:bottom w:val="single" w:sz="4" w:space="0" w:color="B8C4D0"/>
          <w:right w:val="single" w:sz="4" w:space="0" w:color="B8C4D0"/>
          <w:insideH w:val="single" w:sz="4" w:space="0" w:color="B8C4D0"/>
          <w:insideV w:val="single" w:sz="4" w:space="0" w:color="B8C4D0"/>
        </w:tblBorders>
      </w:tblPr>
      <w:tblGrid>
        <w:gridCol w:w="3009"/>
        <w:gridCol w:w="3009"/>
        <w:gridCol w:w="3009"/>
      </w:tblGrid>
      <w:tr>
        <w:tc>
          <w:tcPr>
            <w:tcW w:type="dxa" w:w="1944"/>
            <w:shd w:val="clear" w:color="auto" w:fill="0B1E3F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/>
                <w:i w:val="0"/>
                <w:color w:val="FFFFFF"/>
                <w:sz w:val="29"/>
                <w:szCs w:val="29"/>
                <w:bCs/>
              </w:rPr>
              <w:t>ระยะ</w:t>
            </w:r>
          </w:p>
        </w:tc>
        <w:tc>
          <w:tcPr>
            <w:tcW w:type="dxa" w:w="2664"/>
            <w:shd w:val="clear" w:color="auto" w:fill="0B1E3F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/>
                <w:i w:val="0"/>
                <w:color w:val="FFFFFF"/>
                <w:sz w:val="29"/>
                <w:szCs w:val="29"/>
                <w:bCs/>
              </w:rPr>
              <w:t>ประมาณการงบประมาณ</w:t>
            </w:r>
          </w:p>
        </w:tc>
        <w:tc>
          <w:tcPr>
            <w:tcW w:type="dxa" w:w="4464"/>
            <w:shd w:val="clear" w:color="auto" w:fill="0B1E3F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/>
                <w:i w:val="0"/>
                <w:color w:val="FFFFFF"/>
                <w:sz w:val="29"/>
                <w:szCs w:val="29"/>
                <w:bCs/>
              </w:rPr>
              <w:t>ขอบเขตหลัก</w:t>
            </w:r>
          </w:p>
        </w:tc>
      </w:tr>
      <w:tr>
        <w:tc>
          <w:tcPr>
            <w:tcW w:type="dxa" w:w="194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ระยะที่ ๑</w:t>
            </w:r>
          </w:p>
          <w:p>
            <w:pPr>
              <w:spacing w:after="20" w:before="20" w:line="240" w:lineRule="auto"/>
              <w:jc w:val="left"/>
            </w:pPr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(๐–๖ เดือน)</w:t>
            </w:r>
          </w:p>
        </w:tc>
        <w:tc>
          <w:tcPr>
            <w:tcW w:type="dxa" w:w="266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~๓.๓–๖.๐ ล้านบาท</w:t>
            </w:r>
          </w:p>
        </w:tc>
        <w:tc>
          <w:tcPr>
            <w:tcW w:type="dxa" w:w="446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ตั้งคณะทำงาน สำรวจข้อมูล ฝึกอบรม และจัดทำกรอบธรรมาภิบาล AI</w:t>
            </w:r>
          </w:p>
        </w:tc>
      </w:tr>
      <w:tr>
        <w:tc>
          <w:tcPr>
            <w:tcW w:type="dxa" w:w="194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ระยะที่ ๒</w:t>
            </w:r>
          </w:p>
          <w:p>
            <w:pPr>
              <w:spacing w:after="20" w:before="20" w:line="240" w:lineRule="auto"/>
              <w:jc w:val="left"/>
            </w:pPr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(๖–๒๔ เดือน)</w:t>
            </w:r>
          </w:p>
        </w:tc>
        <w:tc>
          <w:tcPr>
            <w:tcW w:type="dxa" w:w="266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~๑๓๐–๔๖๓ ล้านบาท</w:t>
            </w:r>
          </w:p>
          <w:p>
            <w:pPr>
              <w:spacing w:after="20" w:before="20" w:line="240" w:lineRule="auto"/>
              <w:jc w:val="left"/>
            </w:pPr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(ค่ากลาง ~๒๘๐ ลบ.)</w:t>
            </w:r>
          </w:p>
        </w:tc>
        <w:tc>
          <w:tcPr>
            <w:tcW w:type="dxa" w:w="446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ปรับปรุงทางแยกนำร่อง ๑๐–๒๐ แห่ง ระบบ Adaptive Signal และ Computer Vision รวมงานโยธา ไฟฟ้า สื่อสาร</w:t>
            </w:r>
          </w:p>
        </w:tc>
      </w:tr>
      <w:tr>
        <w:tc>
          <w:tcPr>
            <w:tcW w:type="dxa" w:w="194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ระยะที่ ๓</w:t>
            </w:r>
          </w:p>
          <w:p>
            <w:pPr>
              <w:spacing w:after="20" w:before="20" w:line="240" w:lineRule="auto"/>
              <w:jc w:val="left"/>
            </w:pPr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(๒๔–๖๐ เดือน)</w:t>
            </w:r>
          </w:p>
        </w:tc>
        <w:tc>
          <w:tcPr>
            <w:tcW w:type="dxa" w:w="266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~๔๘๕–๑,๔๒๐ ล้านบาท</w:t>
            </w:r>
          </w:p>
          <w:p>
            <w:pPr>
              <w:spacing w:after="20" w:before="20" w:line="240" w:lineRule="auto"/>
              <w:jc w:val="left"/>
            </w:pPr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(ค่ากลาง ~๘๐๐ ลบ.)</w:t>
            </w:r>
          </w:p>
        </w:tc>
        <w:tc>
          <w:tcPr>
            <w:tcW w:type="dxa" w:w="446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ขยาย ATC ทั่วประเทศ ศึกษา Digital Twin บูรณาการระหว่างหน่วยงาน รวม DPIA และตรวจความมั่นคงปลอดภัยไซเบอร์</w:t>
            </w:r>
          </w:p>
        </w:tc>
      </w:tr>
      <w:tr>
        <w:tc>
          <w:tcPr>
            <w:tcW w:type="dxa" w:w="194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รวม ๕ ปี</w:t>
            </w:r>
          </w:p>
          <w:p>
            <w:pPr>
              <w:spacing w:after="20" w:before="20" w:line="240" w:lineRule="auto"/>
              <w:jc w:val="left"/>
            </w:pPr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(ค่ากลางที่แนะนำ)</w:t>
            </w:r>
          </w:p>
        </w:tc>
        <w:tc>
          <w:tcPr>
            <w:tcW w:type="dxa" w:w="266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~๑,๒๐๐ ล้านบาท</w:t>
            </w:r>
          </w:p>
          <w:p>
            <w:pPr>
              <w:spacing w:after="20" w:before="20" w:line="240" w:lineRule="auto"/>
              <w:jc w:val="left"/>
            </w:pPr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(รวม VAT ๗% และ</w:t>
            </w:r>
          </w:p>
          <w:p>
            <w:pPr>
              <w:spacing w:after="20" w:before="20" w:line="240" w:lineRule="auto"/>
              <w:jc w:val="left"/>
            </w:pPr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Contingency ๑๐–๑๕%)</w:t>
            </w:r>
          </w:p>
        </w:tc>
        <w:tc>
          <w:tcPr>
            <w:tcW w:type="dxa" w:w="446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คิดเป็น ~ร้อยละ ๐.๒๔ ของงบประมาณกรม ๕ ปี (~๕๐๐,๐๐๐ ลบ.) และ ~ร้อยละ ๐.๒๐ ของแผนแม่บท MR-MAP ระยะ ๕ ปี</w:t>
            </w:r>
          </w:p>
        </w:tc>
      </w:tr>
    </w:tbl>
    <w:p>
      <w:pPr>
        <w:spacing w:after="80"/>
      </w:pPr>
    </w:p>
    <w:p>
      <w:pPr>
        <w:spacing w:before="0" w:after="120" w:line="276" w:lineRule="auto"/>
        <w:jc w:val="both"/>
      </w:pPr>
      <w:r>
        <w:rPr>
          <w:rFonts w:ascii="TH Sarabun New" w:hAnsi="TH Sarabun New" w:cs="TH Sarabun New" w:eastAsia="TH Sarabun New"/>
          <w:b w:val="0"/>
          <w:i/>
          <w:color w:val="B87A00"/>
          <w:sz w:val="29"/>
          <w:szCs w:val="29"/>
        </w:rPr>
        <w:t>หมายเหตุ: ตัวเลขข้างต้นเป็นการประมาณการเชิงทิศทางเพื่อประกอบการพิจารณาเชิงนโยบายเท่านั้น มิใช่งบประมาณที่ได้รับอนุมัติ การจัดสรรงบประมาณจริงต้องผ่านการศึกษาความเหมาะสมและขั้นตอนตามระเบียบ ของกรมทางหลวง กระทรวงคมนาคม สำนักงบประมาณ และคณะรัฐมนตรี โดยทยอยตั้งงบประมาณรายปีเฉลี่ยปีละ ประมาณ ๒๐๐–๓๐๐ ล้านบาท</w:t>
      </w:r>
    </w:p>
    <w:p>
      <w:pPr>
        <w:pStyle w:val="Heading2"/>
        <w:keepNext/>
        <w:spacing w:before="200" w:after="80"/>
      </w:pPr>
      <w:r>
        <w:rPr>
          <w:rFonts w:ascii="TH Sarabun New" w:hAnsi="TH Sarabun New" w:cs="TH Sarabun New" w:eastAsia="TH Sarabun New"/>
          <w:b/>
          <w:i w:val="0"/>
          <w:color w:val="0B1E3F"/>
          <w:sz w:val="34"/>
          <w:szCs w:val="34"/>
          <w:bCs/>
        </w:rPr>
        <w:t>๔.๓  เงื่อนไขสำคัญทางกฎหมายและระเบียบที่ต้องปฏิบัติ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8C4D0"/>
          <w:left w:val="single" w:sz="4" w:space="0" w:color="B8C4D0"/>
          <w:bottom w:val="single" w:sz="4" w:space="0" w:color="B8C4D0"/>
          <w:right w:val="single" w:sz="4" w:space="0" w:color="B8C4D0"/>
          <w:insideH w:val="single" w:sz="4" w:space="0" w:color="B8C4D0"/>
          <w:insideV w:val="single" w:sz="4" w:space="0" w:color="B8C4D0"/>
        </w:tblBorders>
      </w:tblPr>
      <w:tblGrid>
        <w:gridCol w:w="3009"/>
        <w:gridCol w:w="3009"/>
        <w:gridCol w:w="3009"/>
      </w:tblGrid>
      <w:tr>
        <w:tc>
          <w:tcPr>
            <w:tcW w:type="dxa" w:w="2448"/>
            <w:shd w:val="clear" w:color="auto" w:fill="0B1E3F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/>
                <w:i w:val="0"/>
                <w:color w:val="FFFFFF"/>
                <w:sz w:val="29"/>
                <w:szCs w:val="29"/>
                <w:bCs/>
              </w:rPr>
              <w:t>เงื่อนไข</w:t>
            </w:r>
          </w:p>
        </w:tc>
        <w:tc>
          <w:tcPr>
            <w:tcW w:type="dxa" w:w="3600"/>
            <w:shd w:val="clear" w:color="auto" w:fill="0B1E3F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/>
                <w:i w:val="0"/>
                <w:color w:val="FFFFFF"/>
                <w:sz w:val="29"/>
                <w:szCs w:val="29"/>
                <w:bCs/>
              </w:rPr>
              <w:t>กรอบกฎหมาย/ระเบียบ</w:t>
            </w:r>
          </w:p>
        </w:tc>
        <w:tc>
          <w:tcPr>
            <w:tcW w:type="dxa" w:w="3024"/>
            <w:shd w:val="clear" w:color="auto" w:fill="0B1E3F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/>
                <w:i w:val="0"/>
                <w:color w:val="FFFFFF"/>
                <w:sz w:val="29"/>
                <w:szCs w:val="29"/>
                <w:bCs/>
              </w:rPr>
              <w:t>ผลต่อการดำเนินการ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การขอตั้งงบประมาณ</w:t>
            </w:r>
          </w:p>
        </w:tc>
        <w:tc>
          <w:tcPr>
            <w:tcW w:type="dxa" w:w="3600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พ.ร.บ. วิธีการงบประมาณ พ.ศ. ๒๕๖๑</w:t>
            </w:r>
          </w:p>
        </w:tc>
        <w:tc>
          <w:tcPr>
            <w:tcW w:type="dxa" w:w="302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ใช้เวลา ~๑๒–๑๘ เดือน ต้องบรรจุในแผนปฏิบัติราชการล่วงหน้า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การจัดซื้อจัดจ้าง</w:t>
            </w:r>
          </w:p>
        </w:tc>
        <w:tc>
          <w:tcPr>
            <w:tcW w:type="dxa" w:w="3600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พ.ร.บ. การจัดซื้อจัดจ้างฯ พ.ศ. ๒๕๖๐</w:t>
            </w:r>
          </w:p>
        </w:tc>
        <w:tc>
          <w:tcPr>
            <w:tcW w:type="dxa" w:w="302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ดำเนินการแบบ e-Bidding / e-Market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คลาวด์ภาครัฐ</w:t>
            </w:r>
          </w:p>
        </w:tc>
        <w:tc>
          <w:tcPr>
            <w:tcW w:type="dxa" w:w="3600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นโยบาย Government Cloud และข้อกำหนด DGA</w:t>
            </w:r>
          </w:p>
        </w:tc>
        <w:tc>
          <w:tcPr>
            <w:tcW w:type="dxa" w:w="302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กระทบการเลือกผู้ให้บริการ อาจเพิ่มค่าใช้จ่าย ~ร้อยละ ๑๐–๒๐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คุ้มครองข้อมูลส่วนบุคคล</w:t>
            </w:r>
          </w:p>
        </w:tc>
        <w:tc>
          <w:tcPr>
            <w:tcW w:type="dxa" w:w="3600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PDPA พ.ศ. ๒๕๖๒</w:t>
            </w:r>
          </w:p>
        </w:tc>
        <w:tc>
          <w:tcPr>
            <w:tcW w:type="dxa" w:w="302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ต้องจัดทำ DPIA และแต่งตั้ง DPO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ความมั่นคงปลอดภัยไซเบอร์</w:t>
            </w:r>
          </w:p>
        </w:tc>
        <w:tc>
          <w:tcPr>
            <w:tcW w:type="dxa" w:w="3600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พ.ร.บ. ไซเบอร์ฯ ๒๕๖๒ · ISO/IEC 27001 · NIST CSF</w:t>
            </w:r>
          </w:p>
        </w:tc>
        <w:tc>
          <w:tcPr>
            <w:tcW w:type="dxa" w:w="302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ตรวจประเมินการเจาะระบบทุก ๖–๑๒ เดือน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การบูรณาการข้ามหน่วยงาน</w:t>
            </w:r>
          </w:p>
        </w:tc>
        <w:tc>
          <w:tcPr>
            <w:tcW w:type="dxa" w:w="3600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MOU กับ สตช., กทม. และหน่วยงานที่เกี่ยวข้อง</w:t>
            </w:r>
          </w:p>
        </w:tc>
        <w:tc>
          <w:tcPr>
            <w:tcW w:type="dxa" w:w="3024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ใช้เวลาเตรียมการ ~๓–๖ เดือน</w:t>
            </w:r>
          </w:p>
        </w:tc>
      </w:tr>
    </w:tbl>
    <w:p>
      <w:pPr>
        <w:spacing w:after="80"/>
      </w:pPr>
    </w:p>
    <w:p>
      <w:pPr>
        <w:pStyle w:val="Heading1"/>
        <w:keepNext/>
        <w:spacing w:before="320" w:after="160"/>
      </w:pPr>
      <w:r>
        <w:rPr>
          <w:rFonts w:ascii="TH Sarabun New" w:hAnsi="TH Sarabun New" w:cs="TH Sarabun New" w:eastAsia="TH Sarabun New"/>
          <w:b/>
          <w:i w:val="0"/>
          <w:color w:val="0B1E3F"/>
          <w:sz w:val="40"/>
          <w:szCs w:val="40"/>
          <w:bCs/>
        </w:rPr>
        <w:t>บทที่ ๕  ตัวอย่างการประยุกต์ใช้ (Use Case)</w:t>
      </w:r>
    </w:p>
    <w:p>
      <w:pPr>
        <w:spacing w:before="0" w:after="12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เพื่อแสดงความเป็นไปได้เชิงปฏิบัติ ผู้เสนออ้างอิงการศึกษาวิเคราะห์ทางแยกในรูปแบบ Digital Twin Traffic Intersection Analysis ที่ข้าราชการของกรมทางหลวงได้ดำเนินการและเผยแพร่สู่สาธารณะ (https://raikluay-intersection.pages.dev) ซึ่งประกอบด้วยองค์ประกอบที่สอดคล้องกับกรอบ ๔ มิติ ได้แก่ การจำลองสภาพจราจรเชิงจุลภาค การประเมินความปลอดภัยด้วย SSAM การประมาณการปล่อยก๊าซด้วย MOVES การประเมินผลกระทบทางเศรษฐกิจและสังคม และการเปรียบเทียบทางเลือกด้วย MCDA</w:t>
      </w:r>
    </w:p>
    <w:p>
      <w:pPr>
        <w:spacing w:before="80" w:after="12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ตัวอย่างผลการศึกษาเชิงประกอบ (เปรียบเทียบสภาพปัจจุบันกับทางเลือกปรับปรุงสัญญาณไฟ ๒ จังหวะ) แสดงให้เห็นศักยภาพของการปรับปรุงที่ดีขึ้นพร้อมกันทุกมิติ ดังนี้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8C4D0"/>
          <w:left w:val="single" w:sz="4" w:space="0" w:color="B8C4D0"/>
          <w:bottom w:val="single" w:sz="4" w:space="0" w:color="B8C4D0"/>
          <w:right w:val="single" w:sz="4" w:space="0" w:color="B8C4D0"/>
          <w:insideH w:val="single" w:sz="4" w:space="0" w:color="B8C4D0"/>
          <w:insideV w:val="single" w:sz="4" w:space="0" w:color="B8C4D0"/>
        </w:tblBorders>
      </w:tblPr>
      <w:tblGrid>
        <w:gridCol w:w="2256"/>
        <w:gridCol w:w="2256"/>
        <w:gridCol w:w="2256"/>
        <w:gridCol w:w="2256"/>
      </w:tblGrid>
      <w:tr>
        <w:tc>
          <w:tcPr>
            <w:tcW w:type="dxa" w:w="1728"/>
            <w:shd w:val="clear" w:color="auto" w:fill="0B1E3F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/>
                <w:i w:val="0"/>
                <w:color w:val="FFFFFF"/>
                <w:sz w:val="29"/>
                <w:szCs w:val="29"/>
                <w:bCs/>
              </w:rPr>
              <w:t>มิติ</w:t>
            </w:r>
          </w:p>
        </w:tc>
        <w:tc>
          <w:tcPr>
            <w:tcW w:type="dxa" w:w="2736"/>
            <w:shd w:val="clear" w:color="auto" w:fill="0B1E3F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/>
                <w:i w:val="0"/>
                <w:color w:val="FFFFFF"/>
                <w:sz w:val="29"/>
                <w:szCs w:val="29"/>
                <w:bCs/>
              </w:rPr>
              <w:t>สภาพปัจจุบัน (TWSC)</w:t>
            </w:r>
          </w:p>
        </w:tc>
        <w:tc>
          <w:tcPr>
            <w:tcW w:type="dxa" w:w="3312"/>
            <w:shd w:val="clear" w:color="auto" w:fill="0B1E3F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/>
                <w:i w:val="0"/>
                <w:color w:val="FFFFFF"/>
                <w:sz w:val="29"/>
                <w:szCs w:val="29"/>
                <w:bCs/>
              </w:rPr>
              <w:t>ทางเลือกที่ปรับปรุง</w:t>
            </w:r>
          </w:p>
        </w:tc>
        <w:tc>
          <w:tcPr>
            <w:tcW w:type="dxa" w:w="1296"/>
            <w:shd w:val="clear" w:color="auto" w:fill="0B1E3F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/>
                <w:i w:val="0"/>
                <w:color w:val="FFFFFF"/>
                <w:sz w:val="29"/>
                <w:szCs w:val="29"/>
                <w:bCs/>
              </w:rPr>
              <w:t>เปลี่ยนแปลง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คล่องตัว</w:t>
            </w:r>
          </w:p>
        </w:tc>
        <w:tc>
          <w:tcPr>
            <w:tcW w:type="dxa" w:w="2736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LOS F · delay 78 วินาที</w:t>
            </w:r>
          </w:p>
        </w:tc>
        <w:tc>
          <w:tcPr>
            <w:tcW w:type="dxa" w:w="3312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LOS C · delay 28 วินาที</w:t>
            </w:r>
          </w:p>
        </w:tc>
        <w:tc>
          <w:tcPr>
            <w:tcW w:type="dxa" w:w="1296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−64%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ปลอดภัย</w:t>
            </w:r>
          </w:p>
        </w:tc>
        <w:tc>
          <w:tcPr>
            <w:tcW w:type="dxa" w:w="2736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อุบัติเหตุ 9.4 ครั้ง/ปี</w:t>
            </w:r>
          </w:p>
        </w:tc>
        <w:tc>
          <w:tcPr>
            <w:tcW w:type="dxa" w:w="3312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ลดเหลือ ~5.6 ครั้ง/ปี · จุดขัดแย้ง −75%</w:t>
            </w:r>
          </w:p>
        </w:tc>
        <w:tc>
          <w:tcPr>
            <w:tcW w:type="dxa" w:w="1296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−60%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สิ่งแวดล้อม</w:t>
            </w:r>
          </w:p>
        </w:tc>
        <w:tc>
          <w:tcPr>
            <w:tcW w:type="dxa" w:w="2736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CO₂ 240 กก./วัน</w:t>
            </w:r>
          </w:p>
        </w:tc>
        <w:tc>
          <w:tcPr>
            <w:tcW w:type="dxa" w:w="3312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CO₂ 120 กก./วัน</w:t>
            </w:r>
          </w:p>
        </w:tc>
        <w:tc>
          <w:tcPr>
            <w:tcW w:type="dxa" w:w="1296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−50%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เศรษฐกิจ</w:t>
            </w:r>
          </w:p>
        </w:tc>
        <w:tc>
          <w:tcPr>
            <w:tcW w:type="dxa" w:w="2736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(ฐาน)</w:t>
            </w:r>
          </w:p>
        </w:tc>
        <w:tc>
          <w:tcPr>
            <w:tcW w:type="dxa" w:w="3312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ประหยัด ~฿800,000/ปี</w:t>
            </w:r>
          </w:p>
        </w:tc>
        <w:tc>
          <w:tcPr>
            <w:tcW w:type="dxa" w:w="1296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+800k</w:t>
            </w:r>
          </w:p>
        </w:tc>
      </w:tr>
    </w:tbl>
    <w:p>
      <w:pPr>
        <w:spacing w:after="80"/>
      </w:pPr>
    </w:p>
    <w:p>
      <w:pPr>
        <w:spacing w:before="0" w:after="120" w:line="276" w:lineRule="auto"/>
        <w:jc w:val="both"/>
      </w:pPr>
      <w:r>
        <w:rPr>
          <w:rFonts w:ascii="TH Sarabun New" w:hAnsi="TH Sarabun New" w:cs="TH Sarabun New" w:eastAsia="TH Sarabun New"/>
          <w:b w:val="0"/>
          <w:i/>
          <w:color w:val="B87A00"/>
          <w:sz w:val="29"/>
          <w:szCs w:val="29"/>
        </w:rPr>
        <w:t>หมายเหตุ: ตัวเลขข้างต้นเป็นตัวอย่างเชิงประกอบเพื่อสื่อสารแนวคิด ผลลัพธ์จริงในแต่ละทางแยกย่อมแตกต่างกัน ตามบริบทพื้นที่ และต้องผ่านการศึกษาเฉพาะกรณีในรายละเอียดก่อนการดำเนินการจริง</w:t>
      </w:r>
    </w:p>
    <w:p>
      <w:pPr>
        <w:pStyle w:val="Heading1"/>
        <w:keepNext/>
        <w:spacing w:before="320" w:after="160"/>
      </w:pPr>
      <w:r>
        <w:rPr>
          <w:rFonts w:ascii="TH Sarabun New" w:hAnsi="TH Sarabun New" w:cs="TH Sarabun New" w:eastAsia="TH Sarabun New"/>
          <w:b/>
          <w:i w:val="0"/>
          <w:color w:val="0B1E3F"/>
          <w:sz w:val="40"/>
          <w:szCs w:val="40"/>
          <w:bCs/>
        </w:rPr>
        <w:t>บทที่ ๖  ตัวชี้วัด การบริหารความเสี่ยง และผลที่คาดว่าจะได้รับ</w:t>
      </w:r>
    </w:p>
    <w:p>
      <w:pPr>
        <w:pStyle w:val="Heading2"/>
        <w:keepNext/>
        <w:spacing w:before="200" w:after="80"/>
      </w:pPr>
      <w:r>
        <w:rPr>
          <w:rFonts w:ascii="TH Sarabun New" w:hAnsi="TH Sarabun New" w:cs="TH Sarabun New" w:eastAsia="TH Sarabun New"/>
          <w:b/>
          <w:i w:val="0"/>
          <w:color w:val="0B1E3F"/>
          <w:sz w:val="34"/>
          <w:szCs w:val="34"/>
          <w:bCs/>
        </w:rPr>
        <w:t>๖.๑  ตัวชี้วัดความสำเร็จเชิงทิศทาง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8C4D0"/>
          <w:left w:val="single" w:sz="4" w:space="0" w:color="B8C4D0"/>
          <w:bottom w:val="single" w:sz="4" w:space="0" w:color="B8C4D0"/>
          <w:right w:val="single" w:sz="4" w:space="0" w:color="B8C4D0"/>
          <w:insideH w:val="single" w:sz="4" w:space="0" w:color="B8C4D0"/>
          <w:insideV w:val="single" w:sz="4" w:space="0" w:color="B8C4D0"/>
        </w:tblBorders>
      </w:tblPr>
      <w:tblGrid>
        <w:gridCol w:w="3009"/>
        <w:gridCol w:w="3009"/>
        <w:gridCol w:w="3009"/>
      </w:tblGrid>
      <w:tr>
        <w:tc>
          <w:tcPr>
            <w:tcW w:type="dxa" w:w="1728"/>
            <w:shd w:val="clear" w:color="auto" w:fill="0B1E3F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/>
                <w:i w:val="0"/>
                <w:color w:val="FFFFFF"/>
                <w:sz w:val="29"/>
                <w:szCs w:val="29"/>
                <w:bCs/>
              </w:rPr>
              <w:t>มิติ</w:t>
            </w:r>
          </w:p>
        </w:tc>
        <w:tc>
          <w:tcPr>
            <w:tcW w:type="dxa" w:w="4752"/>
            <w:shd w:val="clear" w:color="auto" w:fill="0B1E3F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/>
                <w:i w:val="0"/>
                <w:color w:val="FFFFFF"/>
                <w:sz w:val="29"/>
                <w:szCs w:val="29"/>
                <w:bCs/>
              </w:rPr>
              <w:t>ตัวชี้วัด</w:t>
            </w:r>
          </w:p>
        </w:tc>
        <w:tc>
          <w:tcPr>
            <w:tcW w:type="dxa" w:w="2592"/>
            <w:shd w:val="clear" w:color="auto" w:fill="0B1E3F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/>
                <w:i w:val="0"/>
                <w:color w:val="FFFFFF"/>
                <w:sz w:val="29"/>
                <w:szCs w:val="29"/>
                <w:bCs/>
              </w:rPr>
              <w:t>ทิศทาง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๑. คล่องตัว</w:t>
            </w:r>
          </w:p>
        </w:tc>
        <w:tc>
          <w:tcPr>
            <w:tcW w:type="dxa" w:w="4752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ระดับการให้บริการ (LOS) และความล่าช้าเฉลี่ยที่ทางแยกที่ปรับปรุง</w:t>
            </w:r>
          </w:p>
        </w:tc>
        <w:tc>
          <w:tcPr>
            <w:tcW w:type="dxa" w:w="2592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ยกระดับจาก LOS E–F สู่ LOS C–D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๒. ปลอดภัย</w:t>
            </w:r>
          </w:p>
        </w:tc>
        <w:tc>
          <w:tcPr>
            <w:tcW w:type="dxa" w:w="4752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จำนวนผู้เสียชีวิตและจุดขัดแย้งที่ทางแยกในความรับผิดชอบ</w:t>
            </w:r>
          </w:p>
        </w:tc>
        <w:tc>
          <w:tcPr>
            <w:tcW w:type="dxa" w:w="2592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มุ่งเป้า UN ลดผู้เสียชีวิตครึ่งหนึ่งในปี ๒๕๗๓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๓. สิ่งแวดล้อม</w:t>
            </w:r>
          </w:p>
        </w:tc>
        <w:tc>
          <w:tcPr>
            <w:tcW w:type="dxa" w:w="4752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ปริมาณ CO₂ ที่ทางแยกที่ปรับปรุง (ประเมินตาม EPA MOVES)</w:t>
            </w:r>
          </w:p>
        </w:tc>
        <w:tc>
          <w:tcPr>
            <w:tcW w:type="dxa" w:w="2592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ลดลงอย่างมีนัยสำคัญ สอดคล้องเป้า Net Zero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๔. ประชาชน</w:t>
            </w:r>
          </w:p>
        </w:tc>
        <w:tc>
          <w:tcPr>
            <w:tcW w:type="dxa" w:w="4752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ความพึงพอใจชุมชน และข้อร้องเรียนผ่านสายด่วน ๑๕๘๖ ต่อทางแยก</w:t>
            </w:r>
          </w:p>
        </w:tc>
        <w:tc>
          <w:tcPr>
            <w:tcW w:type="dxa" w:w="2592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ความพึงพอใจเพิ่ม · ข้อร้องเรียนลด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เศรษฐกิจ</w:t>
            </w:r>
          </w:p>
        </w:tc>
        <w:tc>
          <w:tcPr>
            <w:tcW w:type="dxa" w:w="4752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ผลตอบแทนทางเศรษฐกิจ (Benefit-Cost Ratio)</w:t>
            </w:r>
          </w:p>
        </w:tc>
        <w:tc>
          <w:tcPr>
            <w:tcW w:type="dxa" w:w="2592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ทุกโครงการต้องมีผลตอบแทนที่ชัดเจน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20" w:before="20" w:line="240" w:lineRule="auto"/>
              <w:jc w:val="center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บุคลากร</w:t>
            </w:r>
          </w:p>
        </w:tc>
        <w:tc>
          <w:tcPr>
            <w:tcW w:type="dxa" w:w="4752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สัดส่วนวิศวกรที่ผ่านการอบรม PTV VISSIM, FHWA SSAM, EPA MOVES</w:t>
            </w:r>
          </w:p>
        </w:tc>
        <w:tc>
          <w:tcPr>
            <w:tcW w:type="dxa" w:w="2592"/>
            <w:vAlign w:val="center"/>
          </w:tcPr>
          <w:p>
            <w:pPr>
              <w:spacing w:after="20" w:before="20" w:line="240" w:lineRule="auto"/>
              <w:jc w:val="left"/>
            </w:pPr>
            <w:r/>
            <w:r>
              <w:rPr>
                <w:rFonts w:ascii="TH Sarabun New" w:hAnsi="TH Sarabun New" w:cs="TH Sarabun New" w:eastAsia="TH Sarabun New"/>
                <w:b w:val="0"/>
                <w:i w:val="0"/>
                <w:sz w:val="29"/>
                <w:szCs w:val="29"/>
              </w:rPr>
              <w:t>เพิ่มขึ้นต่อเนื่องทุกสำนักงานทางหลวง</w:t>
            </w:r>
          </w:p>
        </w:tc>
      </w:tr>
    </w:tbl>
    <w:p>
      <w:pPr>
        <w:spacing w:after="80"/>
      </w:pPr>
    </w:p>
    <w:p>
      <w:pPr>
        <w:pStyle w:val="Heading2"/>
        <w:keepNext/>
        <w:spacing w:before="200" w:after="80"/>
      </w:pPr>
      <w:r>
        <w:rPr>
          <w:rFonts w:ascii="TH Sarabun New" w:hAnsi="TH Sarabun New" w:cs="TH Sarabun New" w:eastAsia="TH Sarabun New"/>
          <w:b/>
          <w:i w:val="0"/>
          <w:color w:val="0B1E3F"/>
          <w:sz w:val="34"/>
          <w:szCs w:val="34"/>
          <w:bCs/>
        </w:rPr>
        <w:t>๖.๒  การบริหารความเสี่ยงและการบริหารการเปลี่ยนแปลง</w:t>
      </w:r>
    </w:p>
    <w:p>
      <w:pPr>
        <w:pStyle w:val="ListBullet"/>
        <w:spacing w:after="8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ความเสี่ยงด้านคุณภาพข้อมูล — จัดทำบัญชีข้อมูลของกรมและกำหนดผู้รับผิดชอบข้อมูลในแต่ละสำนัก</w:t>
      </w:r>
    </w:p>
    <w:p>
      <w:pPr>
        <w:pStyle w:val="ListBullet"/>
        <w:spacing w:after="8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ความเสี่ยงด้านความมั่นคงปลอดภัยไซเบอร์ — ใช้สถาปัตยกรรมความปลอดภัยตามมาตรฐานสากลและตรวจสอบสม่ำเสมอ</w:t>
      </w:r>
    </w:p>
    <w:p>
      <w:pPr>
        <w:pStyle w:val="ListBullet"/>
        <w:spacing w:after="8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ความเสี่ยงจาก AI ให้คำตอบผิดพลาด — ยึดหลัก “มนุษย์เป็นผู้ตัดสินใจสุดท้าย” ในทุกการตัดสินใจสำคัญ</w:t>
      </w:r>
    </w:p>
    <w:p>
      <w:pPr>
        <w:pStyle w:val="ListBullet"/>
        <w:spacing w:after="8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ความเสี่ยงด้านการต่อต้านการเปลี่ยนแปลง — ใช้การบริหารการเปลี่ยนแปลงเชิงระบบ เริ่มจากผู้สมัครใจ และสร้างผู้นำการเปลี่ยนแปลงในระดับสำนักและแขวงทางหลวง</w:t>
      </w:r>
    </w:p>
    <w:p>
      <w:pPr>
        <w:pStyle w:val="Heading2"/>
        <w:keepNext/>
        <w:spacing w:before="200" w:after="80"/>
      </w:pPr>
      <w:r>
        <w:rPr>
          <w:rFonts w:ascii="TH Sarabun New" w:hAnsi="TH Sarabun New" w:cs="TH Sarabun New" w:eastAsia="TH Sarabun New"/>
          <w:b/>
          <w:i w:val="0"/>
          <w:color w:val="0B1E3F"/>
          <w:sz w:val="34"/>
          <w:szCs w:val="34"/>
          <w:bCs/>
        </w:rPr>
        <w:t>๖.๓  ผลที่คาดว่าจะได้รับ</w:t>
      </w:r>
    </w:p>
    <w:p>
      <w:pPr>
        <w:spacing w:before="0" w:after="12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ข้อเสนอนี้คาดว่าจะช่วยให้กรมทางหลวงแก้ไขปัญหาจราจรที่ทางแยกได้อย่างเป็นระบบและครบทุกมิติ ทั้งความคล่องตัว ความปลอดภัย สิ่งแวดล้อม และการอยู่ร่วมกับประชาชน ช่วยให้ประเทศไทยเข้าใกล้เป้าหมาย การลดผู้เสียชีวิตจากอุบัติเหตุทางถนนครึ่งหนึ่งภายในปี พ.ศ. ๒๕๗๓ ลดการปล่อยก๊าซคาร์บอนไดออกไซด์ จากการจราจรอย่างมีนัยสำคัญ และสร้างความเชื่อมั่นของประชาชนต่อการบริหารงานของกรม</w:t>
      </w:r>
    </w:p>
    <w:p>
      <w:pPr>
        <w:pStyle w:val="Heading1"/>
        <w:keepNext/>
        <w:spacing w:before="320" w:after="160"/>
      </w:pPr>
      <w:r>
        <w:rPr>
          <w:rFonts w:ascii="TH Sarabun New" w:hAnsi="TH Sarabun New" w:cs="TH Sarabun New" w:eastAsia="TH Sarabun New"/>
          <w:b/>
          <w:i w:val="0"/>
          <w:color w:val="0B1E3F"/>
          <w:sz w:val="40"/>
          <w:szCs w:val="40"/>
          <w:bCs/>
        </w:rPr>
        <w:t>บทที่ ๗  บทสรุปและข้อเสนอแนะ</w:t>
      </w:r>
    </w:p>
    <w:p>
      <w:pPr>
        <w:spacing w:before="0" w:after="120" w:line="276" w:lineRule="auto"/>
        <w:jc w:val="both"/>
      </w:pPr>
      <w:r>
        <w:rPr>
          <w:rFonts w:ascii="TH Sarabun New" w:hAnsi="TH Sarabun New" w:cs="TH Sarabun New" w:eastAsia="TH Sarabun New"/>
          <w:b w:val="0"/>
          <w:i w:val="0"/>
          <w:sz w:val="32"/>
          <w:szCs w:val="32"/>
        </w:rPr>
        <w:t>การประยุกต์ใช้ปัญญาประดิษฐ์ในงานวิศวกรรมจราจรของกรมทางหลวงภายใต้กรอบแนวคิด ๔ มิติ เป็นแนวทางที่สามารถดำเนินการได้จริงในบริบทของบุคลากรและเครื่องมือที่กรมและภาควิชาการใช้อยู่ในปัจจุบัน ความสำเร็จขึ้นอยู่กับความต่อเนื่องของนโยบายข้ามรัฐบาล ความพร้อมของบุคลากรในระดับสายงาน และความร่วมมือระหว่างหน่วยงาน โดยมีปลายทางที่ชัดเจนคือประโยชน์สุขของประชาชนผู้ใช้ทาง</w:t>
      </w:r>
    </w:p>
    <w:p>
      <w:pPr>
        <w:spacing w:before="200" w:after="120"/>
        <w:jc w:val="center"/>
        <w:shd w:val="clear" w:fill="FFF1CC"/>
        <w:pBdr>
          <w:top w:val="single" w:sz="6" w:space="6" w:color="FFB300"/>
          <w:bottom w:val="single" w:sz="6" w:space="6" w:color="FFB300"/>
          <w:left w:val="single" w:sz="6" w:space="6" w:color="FFB300"/>
          <w:right w:val="single" w:sz="6" w:space="6" w:color="FFB300"/>
        </w:pBdr>
      </w:pPr>
      <w:r>
        <w:rPr>
          <w:rFonts w:ascii="TH Sarabun New" w:hAnsi="TH Sarabun New" w:cs="TH Sarabun New" w:eastAsia="TH Sarabun New"/>
          <w:b/>
          <w:i w:val="0"/>
          <w:color w:val="0B1E3F"/>
          <w:sz w:val="34"/>
          <w:szCs w:val="34"/>
          <w:bCs/>
        </w:rPr>
        <w:t>“ทุกทางแยกของกรมทางหลวงในยุคปัญญาประดิษฐ์ ต้องคล่องตัว ปลอดภัย เป็นมิตรกับสิ่งแวดล้อม และอยู่ร่วมกับประชาชนได้พร้อมกัน”</w:t>
      </w:r>
    </w:p>
    <w:p>
      <w:pPr>
        <w:pStyle w:val="Heading1"/>
        <w:keepNext/>
        <w:spacing w:before="320" w:after="160"/>
      </w:pPr>
      <w:r>
        <w:rPr>
          <w:rFonts w:ascii="TH Sarabun New" w:hAnsi="TH Sarabun New" w:cs="TH Sarabun New" w:eastAsia="TH Sarabun New"/>
          <w:b/>
          <w:i w:val="0"/>
          <w:color w:val="0B1E3F"/>
          <w:sz w:val="40"/>
          <w:szCs w:val="40"/>
          <w:bCs/>
        </w:rPr>
        <w:t>บรรณานุกรม</w:t>
      </w:r>
    </w:p>
    <w:p>
      <w:pPr>
        <w:spacing w:after="60" w:line="264" w:lineRule="auto"/>
        <w:ind w:left="576" w:hanging="576"/>
        <w:jc w:val="both"/>
      </w:pPr>
      <w:r>
        <w:rPr>
          <w:rFonts w:ascii="TH Sarabun New" w:hAnsi="TH Sarabun New" w:cs="TH Sarabun New" w:eastAsia="TH Sarabun New"/>
          <w:b/>
          <w:i w:val="0"/>
          <w:color w:val="0B1E3F"/>
          <w:sz w:val="30"/>
          <w:szCs w:val="30"/>
          <w:bCs/>
        </w:rPr>
        <w:t xml:space="preserve">[1]  </w:t>
      </w:r>
      <w:r>
        <w:rPr>
          <w:rFonts w:ascii="TH Sarabun New" w:hAnsi="TH Sarabun New" w:cs="TH Sarabun New" w:eastAsia="TH Sarabun New"/>
          <w:b w:val="0"/>
          <w:i w:val="0"/>
          <w:sz w:val="30"/>
          <w:szCs w:val="30"/>
        </w:rPr>
        <w:t>สำนักงานพัฒนารัฐบาลดิจิทัล (องค์การมหาชน). แผนพัฒนารัฐบาลดิจิทัลของประเทศไทย พ.ศ. ๒๕๖๖–๒๕๗๐.</w:t>
      </w:r>
    </w:p>
    <w:p>
      <w:pPr>
        <w:spacing w:after="60" w:line="264" w:lineRule="auto"/>
        <w:ind w:left="576" w:hanging="576"/>
        <w:jc w:val="both"/>
      </w:pPr>
      <w:r>
        <w:rPr>
          <w:rFonts w:ascii="TH Sarabun New" w:hAnsi="TH Sarabun New" w:cs="TH Sarabun New" w:eastAsia="TH Sarabun New"/>
          <w:b/>
          <w:i w:val="0"/>
          <w:color w:val="0B1E3F"/>
          <w:sz w:val="30"/>
          <w:szCs w:val="30"/>
          <w:bCs/>
        </w:rPr>
        <w:t xml:space="preserve">[2]  </w:t>
      </w:r>
      <w:r>
        <w:rPr>
          <w:rFonts w:ascii="TH Sarabun New" w:hAnsi="TH Sarabun New" w:cs="TH Sarabun New" w:eastAsia="TH Sarabun New"/>
          <w:b w:val="0"/>
          <w:i w:val="0"/>
          <w:sz w:val="30"/>
          <w:szCs w:val="30"/>
        </w:rPr>
        <w:t>กรมทางหลวง. แผนปฏิบัติราชการกรมทางหลวง พ.ศ. ๒๕๖๖–๒๕๗๐ และแผนปฏิบัติการดิจิทัลกรมทางหลวง พ.ศ. ๒๕๖๖–๒๕๗๐.</w:t>
      </w:r>
    </w:p>
    <w:p>
      <w:pPr>
        <w:spacing w:after="60" w:line="264" w:lineRule="auto"/>
        <w:ind w:left="576" w:hanging="576"/>
        <w:jc w:val="both"/>
      </w:pPr>
      <w:r>
        <w:rPr>
          <w:rFonts w:ascii="TH Sarabun New" w:hAnsi="TH Sarabun New" w:cs="TH Sarabun New" w:eastAsia="TH Sarabun New"/>
          <w:b/>
          <w:i w:val="0"/>
          <w:color w:val="0B1E3F"/>
          <w:sz w:val="30"/>
          <w:szCs w:val="30"/>
          <w:bCs/>
        </w:rPr>
        <w:t xml:space="preserve">[3]  </w:t>
      </w:r>
      <w:r>
        <w:rPr>
          <w:rFonts w:ascii="TH Sarabun New" w:hAnsi="TH Sarabun New" w:cs="TH Sarabun New" w:eastAsia="TH Sarabun New"/>
          <w:b w:val="0"/>
          <w:i w:val="0"/>
          <w:sz w:val="30"/>
          <w:szCs w:val="30"/>
        </w:rPr>
        <w:t>กรมทางหลวง. ระบบสารสนเทศโครงข่ายทางหลวง (Roadnet) และระบบของสำนักอำนวยความปลอดภัย.</w:t>
      </w:r>
    </w:p>
    <w:p>
      <w:pPr>
        <w:spacing w:after="60" w:line="264" w:lineRule="auto"/>
        <w:ind w:left="576" w:hanging="576"/>
        <w:jc w:val="both"/>
      </w:pPr>
      <w:r>
        <w:rPr>
          <w:rFonts w:ascii="TH Sarabun New" w:hAnsi="TH Sarabun New" w:cs="TH Sarabun New" w:eastAsia="TH Sarabun New"/>
          <w:b/>
          <w:i w:val="0"/>
          <w:color w:val="0B1E3F"/>
          <w:sz w:val="30"/>
          <w:szCs w:val="30"/>
          <w:bCs/>
        </w:rPr>
        <w:t xml:space="preserve">[4]  </w:t>
      </w:r>
      <w:r>
        <w:rPr>
          <w:rFonts w:ascii="TH Sarabun New" w:hAnsi="TH Sarabun New" w:cs="TH Sarabun New" w:eastAsia="TH Sarabun New"/>
          <w:b w:val="0"/>
          <w:i w:val="0"/>
          <w:sz w:val="30"/>
          <w:szCs w:val="30"/>
        </w:rPr>
        <w:t>กระทรวงคมนาคม. นโยบาย “คมนาคมเพื่อโอกาสประเทศไทย”.</w:t>
      </w:r>
    </w:p>
    <w:p>
      <w:pPr>
        <w:spacing w:after="60" w:line="264" w:lineRule="auto"/>
        <w:ind w:left="576" w:hanging="576"/>
        <w:jc w:val="both"/>
      </w:pPr>
      <w:r>
        <w:rPr>
          <w:rFonts w:ascii="TH Sarabun New" w:hAnsi="TH Sarabun New" w:cs="TH Sarabun New" w:eastAsia="TH Sarabun New"/>
          <w:b/>
          <w:i w:val="0"/>
          <w:color w:val="0B1E3F"/>
          <w:sz w:val="30"/>
          <w:szCs w:val="30"/>
          <w:bCs/>
        </w:rPr>
        <w:t xml:space="preserve">[5]  </w:t>
      </w:r>
      <w:r>
        <w:rPr>
          <w:rFonts w:ascii="TH Sarabun New" w:hAnsi="TH Sarabun New" w:cs="TH Sarabun New" w:eastAsia="TH Sarabun New"/>
          <w:b w:val="0"/>
          <w:i w:val="0"/>
          <w:sz w:val="30"/>
          <w:szCs w:val="30"/>
        </w:rPr>
        <w:t>กรมทางหลวง. แผนแม่บทการพัฒนาโครงข่ายทางหลวงพิเศษระหว่างเมือง (MR-MAP) ระยะ ๒๐ ปี.</w:t>
      </w:r>
    </w:p>
    <w:p>
      <w:pPr>
        <w:spacing w:after="60" w:line="264" w:lineRule="auto"/>
        <w:ind w:left="576" w:hanging="576"/>
        <w:jc w:val="both"/>
      </w:pPr>
      <w:r>
        <w:rPr>
          <w:rFonts w:ascii="TH Sarabun New" w:hAnsi="TH Sarabun New" w:cs="TH Sarabun New" w:eastAsia="TH Sarabun New"/>
          <w:b/>
          <w:i w:val="0"/>
          <w:color w:val="0B1E3F"/>
          <w:sz w:val="30"/>
          <w:szCs w:val="30"/>
          <w:bCs/>
        </w:rPr>
        <w:t xml:space="preserve">[6]  </w:t>
      </w:r>
      <w:r>
        <w:rPr>
          <w:rFonts w:ascii="TH Sarabun New" w:hAnsi="TH Sarabun New" w:cs="TH Sarabun New" w:eastAsia="TH Sarabun New"/>
          <w:b w:val="0"/>
          <w:i w:val="0"/>
          <w:sz w:val="30"/>
          <w:szCs w:val="30"/>
        </w:rPr>
        <w:t>World Health Organization. Global Plan for the Decade of Action for Road Safety 2021–2030.</w:t>
      </w:r>
    </w:p>
    <w:p>
      <w:pPr>
        <w:spacing w:after="60" w:line="264" w:lineRule="auto"/>
        <w:ind w:left="576" w:hanging="576"/>
        <w:jc w:val="both"/>
      </w:pPr>
      <w:r>
        <w:rPr>
          <w:rFonts w:ascii="TH Sarabun New" w:hAnsi="TH Sarabun New" w:cs="TH Sarabun New" w:eastAsia="TH Sarabun New"/>
          <w:b/>
          <w:i w:val="0"/>
          <w:color w:val="0B1E3F"/>
          <w:sz w:val="30"/>
          <w:szCs w:val="30"/>
          <w:bCs/>
        </w:rPr>
        <w:t xml:space="preserve">[7]  </w:t>
      </w:r>
      <w:r>
        <w:rPr>
          <w:rFonts w:ascii="TH Sarabun New" w:hAnsi="TH Sarabun New" w:cs="TH Sarabun New" w:eastAsia="TH Sarabun New"/>
          <w:b w:val="0"/>
          <w:i w:val="0"/>
          <w:sz w:val="30"/>
          <w:szCs w:val="30"/>
        </w:rPr>
        <w:t>United Nations. Decade of Action for Road Safety 2021–2030 (เป้าหมายลดผู้เสียชีวิตครึ่งหนึ่งภายในปี ค.ศ. 2030).</w:t>
      </w:r>
    </w:p>
    <w:p>
      <w:pPr>
        <w:spacing w:after="60" w:line="264" w:lineRule="auto"/>
        <w:ind w:left="576" w:hanging="576"/>
        <w:jc w:val="both"/>
      </w:pPr>
      <w:r>
        <w:rPr>
          <w:rFonts w:ascii="TH Sarabun New" w:hAnsi="TH Sarabun New" w:cs="TH Sarabun New" w:eastAsia="TH Sarabun New"/>
          <w:b/>
          <w:i w:val="0"/>
          <w:color w:val="0B1E3F"/>
          <w:sz w:val="30"/>
          <w:szCs w:val="30"/>
          <w:bCs/>
        </w:rPr>
        <w:t xml:space="preserve">[8]  </w:t>
      </w:r>
      <w:r>
        <w:rPr>
          <w:rFonts w:ascii="TH Sarabun New" w:hAnsi="TH Sarabun New" w:cs="TH Sarabun New" w:eastAsia="TH Sarabun New"/>
          <w:b w:val="0"/>
          <w:i w:val="0"/>
          <w:sz w:val="30"/>
          <w:szCs w:val="30"/>
        </w:rPr>
        <w:t>PTV Group. PTV VISSIM — Microscopic Traffic Simulation Software.</w:t>
      </w:r>
    </w:p>
    <w:p>
      <w:pPr>
        <w:spacing w:after="60" w:line="264" w:lineRule="auto"/>
        <w:ind w:left="576" w:hanging="576"/>
        <w:jc w:val="both"/>
      </w:pPr>
      <w:r>
        <w:rPr>
          <w:rFonts w:ascii="TH Sarabun New" w:hAnsi="TH Sarabun New" w:cs="TH Sarabun New" w:eastAsia="TH Sarabun New"/>
          <w:b/>
          <w:i w:val="0"/>
          <w:color w:val="0B1E3F"/>
          <w:sz w:val="30"/>
          <w:szCs w:val="30"/>
          <w:bCs/>
        </w:rPr>
        <w:t xml:space="preserve">[9]  </w:t>
      </w:r>
      <w:r>
        <w:rPr>
          <w:rFonts w:ascii="TH Sarabun New" w:hAnsi="TH Sarabun New" w:cs="TH Sarabun New" w:eastAsia="TH Sarabun New"/>
          <w:b w:val="0"/>
          <w:i w:val="0"/>
          <w:sz w:val="30"/>
          <w:szCs w:val="30"/>
        </w:rPr>
        <w:t>U.S. Federal Highway Administration (FHWA). Surrogate Safety Assessment Model (SSAM).</w:t>
      </w:r>
    </w:p>
    <w:p>
      <w:pPr>
        <w:spacing w:after="60" w:line="264" w:lineRule="auto"/>
        <w:ind w:left="576" w:hanging="576"/>
        <w:jc w:val="both"/>
      </w:pPr>
      <w:r>
        <w:rPr>
          <w:rFonts w:ascii="TH Sarabun New" w:hAnsi="TH Sarabun New" w:cs="TH Sarabun New" w:eastAsia="TH Sarabun New"/>
          <w:b/>
          <w:i w:val="0"/>
          <w:color w:val="0B1E3F"/>
          <w:sz w:val="30"/>
          <w:szCs w:val="30"/>
          <w:bCs/>
        </w:rPr>
        <w:t xml:space="preserve">[10]  </w:t>
      </w:r>
      <w:r>
        <w:rPr>
          <w:rFonts w:ascii="TH Sarabun New" w:hAnsi="TH Sarabun New" w:cs="TH Sarabun New" w:eastAsia="TH Sarabun New"/>
          <w:b w:val="0"/>
          <w:i w:val="0"/>
          <w:sz w:val="30"/>
          <w:szCs w:val="30"/>
        </w:rPr>
        <w:t>U.S. Environmental Protection Agency (EPA). MOVES — Motor Vehicle Emission Simulator.</w:t>
      </w:r>
    </w:p>
    <w:p>
      <w:pPr>
        <w:spacing w:after="60" w:line="264" w:lineRule="auto"/>
        <w:ind w:left="576" w:hanging="576"/>
        <w:jc w:val="both"/>
      </w:pPr>
      <w:r>
        <w:rPr>
          <w:rFonts w:ascii="TH Sarabun New" w:hAnsi="TH Sarabun New" w:cs="TH Sarabun New" w:eastAsia="TH Sarabun New"/>
          <w:b/>
          <w:i w:val="0"/>
          <w:color w:val="0B1E3F"/>
          <w:sz w:val="30"/>
          <w:szCs w:val="30"/>
          <w:bCs/>
        </w:rPr>
        <w:t xml:space="preserve">[11]  </w:t>
      </w:r>
      <w:r>
        <w:rPr>
          <w:rFonts w:ascii="TH Sarabun New" w:hAnsi="TH Sarabun New" w:cs="TH Sarabun New" w:eastAsia="TH Sarabun New"/>
          <w:b w:val="0"/>
          <w:i w:val="0"/>
          <w:sz w:val="30"/>
          <w:szCs w:val="30"/>
        </w:rPr>
        <w:t>Land Transport Authority (Singapore). Smart Mobility 2030 และระบบ CRUISE.</w:t>
      </w:r>
    </w:p>
    <w:p>
      <w:pPr>
        <w:spacing w:after="60" w:line="264" w:lineRule="auto"/>
        <w:ind w:left="576" w:hanging="576"/>
        <w:jc w:val="both"/>
      </w:pPr>
      <w:r>
        <w:rPr>
          <w:rFonts w:ascii="TH Sarabun New" w:hAnsi="TH Sarabun New" w:cs="TH Sarabun New" w:eastAsia="TH Sarabun New"/>
          <w:b/>
          <w:i w:val="0"/>
          <w:color w:val="0B1E3F"/>
          <w:sz w:val="30"/>
          <w:szCs w:val="30"/>
          <w:bCs/>
        </w:rPr>
        <w:t xml:space="preserve">[12]  </w:t>
      </w:r>
      <w:r>
        <w:rPr>
          <w:rFonts w:ascii="TH Sarabun New" w:hAnsi="TH Sarabun New" w:cs="TH Sarabun New" w:eastAsia="TH Sarabun New"/>
          <w:b w:val="0"/>
          <w:i w:val="0"/>
          <w:sz w:val="30"/>
          <w:szCs w:val="30"/>
        </w:rPr>
        <w:t>พระราชบัญญัติคุ้มครองข้อมูลส่วนบุคคล พ.ศ. ๒๕๖๒ และพระราชบัญญัติการรักษาความมั่นคงปลอดภัยไซเบอร์ พ.ศ. ๒๕๖๒.</w:t>
      </w:r>
    </w:p>
    <w:p>
      <w:pPr>
        <w:spacing w:after="60" w:line="264" w:lineRule="auto"/>
        <w:ind w:left="576" w:hanging="576"/>
        <w:jc w:val="both"/>
      </w:pPr>
      <w:r>
        <w:rPr>
          <w:rFonts w:ascii="TH Sarabun New" w:hAnsi="TH Sarabun New" w:cs="TH Sarabun New" w:eastAsia="TH Sarabun New"/>
          <w:b/>
          <w:i w:val="0"/>
          <w:color w:val="0B1E3F"/>
          <w:sz w:val="30"/>
          <w:szCs w:val="30"/>
          <w:bCs/>
        </w:rPr>
        <w:t xml:space="preserve">[13]  </w:t>
      </w:r>
      <w:r>
        <w:rPr>
          <w:rFonts w:ascii="TH Sarabun New" w:hAnsi="TH Sarabun New" w:cs="TH Sarabun New" w:eastAsia="TH Sarabun New"/>
          <w:b w:val="0"/>
          <w:i w:val="0"/>
          <w:sz w:val="30"/>
          <w:szCs w:val="30"/>
        </w:rPr>
        <w:t>พระราชบัญญัติการจัดซื้อจัดจ้างและการบริหารพัสดุภาครัฐ พ.ศ. ๒๕๖๐ และพระราชบัญญัติวิธีการงบประมาณ พ.ศ. ๒๕๖๑.</w:t>
      </w:r>
    </w:p>
    <w:sectPr w:rsidR="00FC693F" w:rsidRPr="0006063C" w:rsidSect="00034616"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H Sarabun New" w:hAnsi="TH Sarabun New" w:cs="TH Sarabun New" w:eastAsia="TH Sarabun New"/>
        <w:b w:val="0"/>
        <w:i w:val="0"/>
        <w:color w:val="0B1E3F"/>
        <w:sz w:val="28"/>
        <w:szCs w:val="2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H Sarabun New" w:hAnsi="TH Sarabun New" w:cs="TH Sarabun New" w:eastAsia="TH Sarabun New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H Sarabun New" w:hAnsi="TH Sarabun New" w:cs="TH Sarabun New" w:eastAsia="TH Sarabun New"/>
      <w:b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H Sarabun New" w:hAnsi="TH Sarabun New" w:cs="TH Sarabun New" w:eastAsia="TH Sarabun New"/>
      <w:b/>
      <w:bCs/>
      <w:color w:val="4F81BD" w:themeColor="accent1"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H Sarabun New" w:hAnsi="TH Sarabun New" w:cs="TH Sarabun New" w:eastAsia="TH Sarabun New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TH Sarabun New" w:hAnsi="TH Sarabun New" w:cs="TH Sarabun New" w:eastAsia="TH Sarabun New"/>
      <w:sz w:val="3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