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เอกสารแนบ ๖</w:t>
      </w: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6"/>
          <w:szCs w:val="36"/>
          <w:bCs/>
        </w:rPr>
        <w:t>รายงานการศึกษาส่วนบุคคล (Individual Study : IS)</w:t>
      </w:r>
    </w:p>
    <w:p>
      <w:pPr>
        <w:spacing w:before="0" w:after="36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color w:val="B87A00"/>
          <w:sz w:val="30"/>
          <w:szCs w:val="30"/>
        </w:rPr>
        <w:t>ฉบับสรุปเชิงวิชาการ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48"/>
          <w:szCs w:val="48"/>
          <w:bCs/>
        </w:rPr>
        <w:t>แนวทางการประยุกต์ใช้เทคโนโลยีปัญญาประดิษฐ์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48"/>
          <w:szCs w:val="48"/>
          <w:bCs/>
        </w:rPr>
        <w:t>ในงานวิศวกรรมจราจรของกรมทางหลวง</w:t>
      </w:r>
    </w:p>
    <w:p>
      <w:pPr>
        <w:spacing w:before="0" w:after="12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6"/>
          <w:szCs w:val="36"/>
          <w:bCs/>
        </w:rPr>
        <w:t>เพื่อยกระดับการบริหารจัดการจราจรอย่างมีประสิทธิภาพและบูรณาการในทุกมิติ</w:t>
      </w:r>
    </w:p>
    <w:p>
      <w:pPr>
        <w:spacing w:before="0" w:after="520" w:line="276" w:lineRule="auto"/>
        <w:jc w:val="center"/>
      </w:pPr>
      <w:r>
        <w:rPr>
          <w:rFonts w:ascii="TH Sarabun New" w:hAnsi="TH Sarabun New" w:cs="TH Sarabun New" w:eastAsia="TH Sarabun New"/>
          <w:b w:val="0"/>
          <w:i/>
          <w:color w:val="B87A00"/>
          <w:sz w:val="30"/>
          <w:szCs w:val="30"/>
        </w:rPr>
        <w:t>Application of Artificial Intelligence in Traffic Engineering for Integrated and Efficient Traffic Management of the Department of Highways</w:t>
      </w:r>
    </w:p>
    <w:p>
      <w:pPr>
        <w:spacing w:before="0" w:after="360" w:line="276" w:lineRule="auto"/>
        <w:jc w:val="both"/>
        <w:pBdr>
          <w:bottom w:val="single" w:sz="12" w:space="1" w:color="FFB300"/>
        </w:pBdr>
      </w:pP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เสนอโดย</w:t>
      </w: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6"/>
          <w:szCs w:val="36"/>
          <w:bCs/>
        </w:rPr>
        <w:t>นายพิชากร  ศรีจันทร์ทอง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ผู้อำนวยการแขวงทางหลวงสมุทรปราการ</w:t>
      </w:r>
    </w:p>
    <w:p>
      <w:pPr>
        <w:spacing w:before="0" w:after="48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สำนักงานทางหลวงที่ ๑๓ (กรุงเทพ)  กรมทางหลวง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ประกอบการสมัครเข้ารับการฝึกอบรม</w:t>
      </w: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  <w:bCs/>
        </w:rPr>
        <w:t>หลักสูตรนักบริหารระดับสูงกระทรวงคมนาคม (นบส.คค.) รุ่นที่ ๘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color w:val="B87A00"/>
          <w:sz w:val="30"/>
          <w:szCs w:val="30"/>
        </w:rPr>
        <w:t>สำนักงานปลัดกระทรวงคมนาคม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/>
          <w:color w:val="B87A00"/>
          <w:sz w:val="26"/>
          <w:szCs w:val="26"/>
        </w:rPr>
        <w:t>ลิขสิทธิ์ของกระทรวงคมนาคม</w:t>
      </w:r>
    </w:p>
    <w:p>
      <w:r>
        <w:br w:type="page"/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บทคัดย่อ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รายงานฉบับนี้นำเสนอแนวทางการประยุกต์ใช้เทคโนโลยีปัญญาประดิษฐ์ (Artificial Intelligence) ในงานวิศวกรรมจราจรของกรมทางหลวง โดยมุ่งเน้นการบริหารจัดการทางแยกบนโครงข่ายทางหลวงทั่วประเทศ ซึ่งเป็นจุดที่เกิดอุบัติเหตุและความล่าช้าของการจราจรในสัดส่วนสูง การศึกษาเสนอ “กรอบแนวคิดจราจรอัจฉริยะ ๔ มิติ” ที่กำหนดให้ทุกการปรับปรุงทางแยกต้องดีขึ้นพร้อมกันทุกมิติ ได้แก่ (๑) ความคล่องตัว (๒) ความปลอดภัย (๓) ความเป็นมิตรกับสิ่งแวดล้อม และ (๔) การอยู่ร่วมกับประชาชน โดยใช้เครื่องมือมาตรฐานสากลที่ตรวจสอบได้ ได้แก่ PTV VISSIM, FHWA SSAM และ EPA MOVES ร่วมกับการวิเคราะห์การตัดสินใจแบบหลายเกณฑ์ (Multi-Criteria Decision Analysis)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ข้อเสนอเชิงนโยบายประกอบด้วย ๕ เสาหลัก ได้แก่ การพัฒนาบุคลากร การปรับกระบวนงานออกแบบทางแยก การพัฒนาแพลตฟอร์มและข้อมูล การสร้างพันธมิตรทางวิชาการ และการวางกรอบธรรมาภิบาลและความปลอดภัย พร้อมแผนการนำไปสู่การปฏิบัติ ๓ ระยะตลอด ๕ ปี และกรอบประมาณการงบประมาณเชิงทิศทางประมาณ ๑,๒๐๐ ล้านบาท (ค่ากลาง) ทั้งนี้ภายใต้หลักการสำคัญที่ว่า “เทคโนโลยีเป็นเพียงเครื่องมือ ปลายทางที่แท้จริงคือประโยชน์สุขของประชาชนผู้ใช้ทาง” และยึดหลัก “วิศวกรเป็นผู้รับผิดชอบสุดท้าย” ในการตัดสินใจทางวิศวกรรม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สารบัญ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บทคัดย่อ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2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๑  บทนำ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๑.๑  ตำแหน่งเป้าหมายและขอบเขตความรับผิดชอบ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๑.๒  ที่มาและความสำคัญ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๑.๓  ประเด็นและวัตถุประสงค์ของการศึกษา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๑.๔  ขอบเขตการศึกษา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๒  สภาพปัญหาและความสอดคล้องเชิงนโยบาย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5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๒.๑  บริบทและความจำเป็น: ความปลอดภัยทางถนนของไทย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5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๒.๒  สภาพปัญหาและความท้าทาย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6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๒.๓  ความสอดคล้องเชิงยุทธศาสตร์และนโยบาย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6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๓  กรอบแนวคิดและข้อเสนอเชิงนโยบาย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7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๓.๑  กรอบแนวคิด: AI สำหรับการแก้ปัญหาจราจรครบ ๔ มิติ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7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๓.๒  ข้อเสนอเชิงนโยบาย ๕ เสาหลัก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8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๔  แผนการนำไปสู่การปฏิบัติและกรอบงบประมาณ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8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๔.๑  แผนการนำนโยบายไปสู่การปฏิบัติ ๓ ระยะ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8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๔.๒  กรอบประมาณการงบประมาณเชิงทิศทาง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9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๔.๓  เงื่อนไขสำคัญทางกฎหมายและระเบียบที่ต้องปฏิบัติ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10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๕  ตัวอย่างการประยุกต์ใช้ (Use Case)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10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๖  ตัวชี้วัด การบริหารความเสี่ยง และผลที่คาดว่าจะได้รับ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11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๖.๑  ตัวชี้วัดความสำเร็จเชิงทิศทาง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11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๖.๒  การบริหารความเสี่ยงและการบริหารการเปลี่ยนแปลง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11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๖.๓  ผลที่คาดว่าจะได้รับ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12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๗  บทสรุปและข้อเสนอแนะ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12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บรรณานุกรม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12</w:t>
      </w:r>
    </w:p>
    <w:p>
      <w:r>
        <w:br w:type="page"/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๑  บทนำ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๑.๑  ตำแหน่งเป้าหมายและขอบเขตความรับผิดชอบ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ตำแหน่งเป้าหมายของผู้เสนอคือ รองอธิบดีกรมทางหลวง ซึ่งเป็นผู้บริหารระดับสูงที่มีหน้าที่ช่วยอธิบดี ในการกำหนดนโยบายและทิศทางการบริหารราชการของกรม ตามอำนาจหน้าที่ในพระราชบัญญัติทางหลวง พ.ศ. ๒๕๓๕ และกฎกระทรวงแบ่งส่วนราชการของกรมทางหลวง พ.ศ. ๒๕๖๐ ครอบคลุมการกำกับดูแลงานวิศวกรรมจราจร การออกแบบและบริหารทางแยกบนทางหลวงทั่วประเทศ การยกระดับความปลอดภัยทางถนนตามกรอบทศวรรษแห่งความปลอดภัย ทางถนน พ.ศ. ๒๕๖๔–๒๕๗๓ ขององค์การสหประชาชาติ และการนำเทคโนโลยีดิจิทัลและปัญญาประดิษฐ์มาประยุกต์ใช้ โดยทำงานร่วมกับสำนักอำนวยความปลอดภัย สำนักวิจัยและพัฒนางานทาง สำนักงานทางหลวงในส่วนภูมิภาค และศูนย์เทคโนโลยีสารสนเทศของกรม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๑.๒  ที่มาและความสำคัญ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ปัญหาจราจรบนโครงข่ายทางหลวง โดยเฉพาะที่ทางแยก เป็นปัญหาเชิงระบบที่ส่งผลกระทบต่อประชาชนในวงกว้าง ทั้งด้านความสะดวก ความปลอดภัย สิ่งแวดล้อม และคุณภาพชีวิต งานวิจัยระหว่างประเทศชี้ว่ามากกว่าร้อยละ ๕๐ ของอุบัติเหตุทางถนนเกิดขึ้นที่ทางแยก ขณะที่ประเทศไทยมีอัตราการเสียชีวิตจากอุบัติเหตุทางถนนสูงประมาณ ๒๕.๔ คนต่อประชากรหนึ่งแสนคน หรือราว ๑๘,๐๐๐ คนต่อปี การนำปัญญาประดิษฐ์มาประยุกต์ใช้อย่างเป็นระบบ จึงเป็นโอกาสสำคัญในการยกระดับการบริหารจัดการจราจรของกรมให้ตอบโจทย์ประชาชนได้ครบทุกมิติ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๑.๓  ประเด็นและวัตถุประสงค์ของการศึกษา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ศึกษาแนวทางการประยุกต์ปัญญาประดิษฐ์ในงานวิศวกรรมจราจรของกรมทางหลวง โดยเฉพาะการบริหารจัดการทางแยก บนทางหลวงทั่วประเทศ เพื่อแก้ไขปัญหาจราจรอย่างครบ ๔ มิติ ได้แก่ ความคล่องตัวของการจราจร ความปลอดภัยของผู้ใช้ทาง ความเป็นมิตรกับสิ่งแวดล้อม และการอยู่ร่วมกับชุมชนและประชาชน โดยใช้กรอบมาตรฐานสากลในการประเมินผล และต่อยอดเครื่องมือทางวิศวกรรมจราจรที่กรมและภาควิชาการใช้อยู่ในปัจจุบัน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๑.๔  ขอบเขตการศึกษา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การศึกษานี้เป็นข้อเสนอเชิงนโยบายในกรอบอำนาจหน้าที่ของผู้บริหารระดับสูง มุ่งเน้นการบริหารจัดการทางแยก บนทางหลวงในความรับผิดชอบของกรม และการประยุกต์เครื่องมือมาตรฐานสากล ได้แก่ PTV VISSIM (Microscopic Traffic Simulation), FHWA SSAM (Surrogate Safety Assessment Model) และ EPA MOVES (Motor Vehicle Emission Simulator) เป็นกรอบในการประเมินและตัดสินใจ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๒  สภาพปัญหาและความสอดคล้องเชิงนโยบาย</w:t>
      </w:r>
    </w:p>
    <w:p>
      <w:pPr>
        <w:pStyle w:val="Heading2"/>
      </w:pPr>
      <w:r>
        <w:rPr>
          <w:rFonts w:ascii="TH Sarabun New" w:hAnsi="TH Sarabun New" w:cs="TH Sarabun New"/>
          <w:b/>
          <w:color w:val="0B1E3F"/>
          <w:sz w:val="34"/>
        </w:rPr>
        <w:t>๒.๑  บริบทและความจำเป็น: ความปลอดภัยทางถนนของไทยในระดับโลกและระดับหน่วยงาน</w:t>
      </w:r>
    </w:p>
    <w:p>
      <w:pPr>
        <w:spacing w:after="120" w:line="240" w:lineRule="auto"/>
        <w:ind w:firstLine="720"/>
      </w:pPr>
      <w:r>
        <w:rPr>
          <w:rFonts w:ascii="TH Sarabun New" w:hAnsi="TH Sarabun New" w:cs="TH Sarabun New"/>
          <w:b w:val="0"/>
          <w:sz w:val="32"/>
        </w:rPr>
        <w:t>ก่อนเจาะจงประเด็น “ทางแยก” ผู้จัดทำวางบริบทของปัญหาความปลอดภัยทางถนนตั้งแต่ระดับโลกลงสู่ระดับหน่วยงาน เพื่อแสดงความจำเป็นเร่งด่วนและขอบเขตอำนาจดำเนินการของกรมทางหลวง</w:t>
      </w:r>
    </w:p>
    <w:p>
      <w:pPr>
        <w:spacing w:before="120" w:after="40"/>
      </w:pPr>
      <w:r>
        <w:rPr>
          <w:rFonts w:ascii="TH Sarabun New" w:hAnsi="TH Sarabun New" w:cs="TH Sarabun New"/>
          <w:b/>
          <w:color w:val="0B1E3F"/>
          <w:sz w:val="32"/>
        </w:rPr>
        <w:t>๑) สถานการณ์ระดับโลกและภูมิภาค</w:t>
      </w:r>
    </w:p>
    <w:p>
      <w:pPr>
        <w:spacing w:after="120" w:line="240" w:lineRule="auto"/>
        <w:ind w:firstLine="720"/>
      </w:pPr>
      <w:r>
        <w:rPr>
          <w:rFonts w:ascii="TH Sarabun New" w:hAnsi="TH Sarabun New" w:cs="TH Sarabun New"/>
          <w:b w:val="0"/>
          <w:sz w:val="32"/>
        </w:rPr>
        <w:t>องค์การอนามัยโลก (WHO) รายงานว่าทั่วโลกมีผู้เสียชีวิตจากอุบัติเหตุทางถนนราว 1.19 ล้านคนต่อปี ประเทศไทยมีอัตราการ เสียชีวิต 25.4 คนต่อประชากรแสนคน (ข้อมูลปี ค.ศ. 2021) สูงเป็นอันดับ 9 จาก 175 ประเทศ และสูงเป็นอันดับ 1 ในอาเซียน โดยผู้เสียชีวิตร้อยละ 83.8 เป็นผู้ขับขี่จักรยานยนต์ ภูมิภาคเอเชียใต้และตะวันออกมีผู้เสียชีวิตราว 330,222 รายต่อปี หรือ ราวร้อยละ 28 ของทั้งโลก แม้อัตราของไทยจะปรับดีขึ้นจาก 32.7 (ปี 2016) เหลือ 25.4 (ปี 2021) แต่ยังห่างจากเป้าหมาย ชาติที่ 12 ต่อแสนภายในปี พ.ศ. 2570 (ที่มา: WHO Global Status Report on Road Safety 2023 · WHO South-East Asia 2024)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896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ประเทศ (รอบสำรวจ ค.ศ. 2016)</w:t>
            </w:r>
          </w:p>
        </w:tc>
        <w:tc>
          <w:tcPr>
            <w:tcW w:type="dxa" w:w="3456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อัตราการตายต่อประชากรแสนคน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ไทย (สูงสุดในอาเซียน)</w:t>
            </w:r>
          </w:p>
        </w:tc>
        <w:tc>
          <w:tcPr>
            <w:tcW w:type="dxa" w:w="3456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32.7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เวียดนาม</w:t>
            </w:r>
          </w:p>
        </w:tc>
        <w:tc>
          <w:tcPr>
            <w:tcW w:type="dxa" w:w="3456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26.7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สิงคโปร์ (ต่ำสุด)</w:t>
            </w:r>
          </w:p>
        </w:tc>
        <w:tc>
          <w:tcPr>
            <w:tcW w:type="dxa" w:w="3456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2.8</w:t>
            </w:r>
          </w:p>
        </w:tc>
      </w:tr>
    </w:tbl>
    <w:p>
      <w:pPr>
        <w:spacing w:after="80"/>
      </w:pPr>
    </w:p>
    <w:p>
      <w:pPr>
        <w:spacing w:before="120" w:after="40"/>
      </w:pPr>
      <w:r>
        <w:rPr>
          <w:rFonts w:ascii="TH Sarabun New" w:hAnsi="TH Sarabun New" w:cs="TH Sarabun New"/>
          <w:b/>
          <w:color w:val="0B1E3F"/>
          <w:sz w:val="32"/>
        </w:rPr>
        <w:t>๒) โครงสร้างความรับผิดชอบถนนของไทยจำแนกตามหน่วยงาน (พ.ศ. 2568)</w:t>
      </w:r>
    </w:p>
    <w:p>
      <w:pPr>
        <w:spacing w:after="120" w:line="240" w:lineRule="auto"/>
        <w:ind w:firstLine="720"/>
      </w:pPr>
      <w:r>
        <w:rPr>
          <w:rFonts w:ascii="TH Sarabun New" w:hAnsi="TH Sarabun New" w:cs="TH Sarabun New"/>
          <w:b w:val="0"/>
          <w:sz w:val="32"/>
        </w:rPr>
        <w:t>ถนนของประเทศไทยมีระยะทางรวม 706,120.9 กิโลเมตร องค์กรปกครองส่วนท้องถิ่นถือครองมากที่สุดร้อยละ 84.6 ขณะที่กรม ทางหลวงและกรมทางหลวงชนบทซึ่งเป็นสองหน่วยงานหลักภายใต้กระทรวงคมนาคมถือครองรวมกันเพียงร้อยละ 14.7 (103,679.5 กม.)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09"/>
        <w:gridCol w:w="3009"/>
        <w:gridCol w:w="3009"/>
      </w:tblGrid>
      <w:tr>
        <w:tc>
          <w:tcPr>
            <w:tcW w:type="dxa" w:w="4608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หน่วยงานเจ้าของถนน</w:t>
            </w:r>
          </w:p>
        </w:tc>
        <w:tc>
          <w:tcPr>
            <w:tcW w:type="dxa" w:w="2304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ระยะทาง (กม.)</w:t>
            </w:r>
          </w:p>
        </w:tc>
        <w:tc>
          <w:tcPr>
            <w:tcW w:type="dxa" w:w="1440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สัดส่วน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กรมส่งเสริมการปกครองท้องถิ่น (อปท.)</w:t>
            </w:r>
          </w:p>
        </w:tc>
        <w:tc>
          <w:tcPr>
            <w:tcW w:type="dxa" w:w="230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597,666.9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84.6%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กรมทางหลวง (ทล.)</w:t>
            </w:r>
          </w:p>
        </w:tc>
        <w:tc>
          <w:tcPr>
            <w:tcW w:type="dxa" w:w="230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52,383.6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7.4%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กรมทางหลวงชนบท (ทช.)</w:t>
            </w:r>
          </w:p>
        </w:tc>
        <w:tc>
          <w:tcPr>
            <w:tcW w:type="dxa" w:w="230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51,295.9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7.3%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กรุงเทพมหานคร (กทม.)</w:t>
            </w:r>
          </w:p>
        </w:tc>
        <w:tc>
          <w:tcPr>
            <w:tcW w:type="dxa" w:w="230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4,549.9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0.6%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การทางพิเศษ (กทพ.)</w:t>
            </w:r>
          </w:p>
        </w:tc>
        <w:tc>
          <w:tcPr>
            <w:tcW w:type="dxa" w:w="230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224.6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0.03%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รวมทั้งประเทศ</w:t>
            </w:r>
          </w:p>
        </w:tc>
        <w:tc>
          <w:tcPr>
            <w:tcW w:type="dxa" w:w="230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706,120.9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100%</w:t>
            </w:r>
          </w:p>
        </w:tc>
      </w:tr>
    </w:tbl>
    <w:p>
      <w:pPr>
        <w:spacing w:after="80"/>
      </w:pPr>
    </w:p>
    <w:p>
      <w:pPr>
        <w:spacing w:after="120" w:line="240" w:lineRule="auto"/>
        <w:ind w:firstLine="720"/>
      </w:pPr>
      <w:r>
        <w:rPr>
          <w:rFonts w:ascii="TH Sarabun New" w:hAnsi="TH Sarabun New" w:cs="TH Sarabun New"/>
          <w:b w:val="0"/>
          <w:sz w:val="32"/>
        </w:rPr>
        <w:t>หมายเหตุ ตัวเลขระยะทางของ อปท. (597,666.9 กม.) คงที่ตั้งแต่ปี พ.ศ. 2562 ในชุดข้อมูล จึงอาจมิได้ปรับปรุงต่อเนื่อง สัดส่วนถนนท้องถิ่นจริงอาจสูงกว่านี้ (ที่มา: MOT Data Catalog · ระยะทางถนน 2560–2568)</w:t>
      </w:r>
    </w:p>
    <w:p>
      <w:pPr>
        <w:spacing w:before="120" w:after="40"/>
      </w:pPr>
      <w:r>
        <w:rPr>
          <w:rFonts w:ascii="TH Sarabun New" w:hAnsi="TH Sarabun New" w:cs="TH Sarabun New"/>
          <w:b/>
          <w:color w:val="0B1E3F"/>
          <w:sz w:val="32"/>
        </w:rPr>
        <w:t>๓) ความสูญเสียบนโครงข่ายของกระทรวงคมนาคม (พ.ศ. 2568)</w:t>
      </w:r>
    </w:p>
    <w:p>
      <w:pPr>
        <w:spacing w:after="120" w:line="240" w:lineRule="auto"/>
        <w:ind w:firstLine="720"/>
      </w:pPr>
      <w:r>
        <w:rPr>
          <w:rFonts w:ascii="TH Sarabun New" w:hAnsi="TH Sarabun New" w:cs="TH Sarabun New"/>
          <w:b w:val="0"/>
          <w:sz w:val="32"/>
        </w:rPr>
        <w:t>แม้ถือครองระยะทางเพียงร้อยละ 14.7 แต่โครงข่ายคมนาคมกลับรองรับความสูญเสียสูงกว่ามาก เพราะเป็นถนนสายหลักที่มีปริมาณ จราจรและความเร็วสูง โดยมีผู้เสียชีวิตรวม 2,783 คน คิดเป็นราวร้อยละ 16 ของผู้เสียชีวิตทางถนนทั้งประเทศ (ประมาณ 17,000 คนต่อปี จากระบบบูรณาการ 3 ฐาน)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2592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โครงข่าย</w:t>
            </w:r>
          </w:p>
        </w:tc>
        <w:tc>
          <w:tcPr>
            <w:tcW w:type="dxa" w:w="1440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อุบัติเหตุ</w:t>
            </w:r>
          </w:p>
        </w:tc>
        <w:tc>
          <w:tcPr>
            <w:tcW w:type="dxa" w:w="1440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เสียชีวิต</w:t>
            </w:r>
          </w:p>
        </w:tc>
        <w:tc>
          <w:tcPr>
            <w:tcW w:type="dxa" w:w="1584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บาดเจ็บสาหัส</w:t>
            </w:r>
          </w:p>
        </w:tc>
        <w:tc>
          <w:tcPr>
            <w:tcW w:type="dxa" w:w="1440"/>
            <w:shd w:val="clear" w:fill="0B1E3F"/>
          </w:tcPr>
          <w:p>
            <w:r/>
            <w:r>
              <w:rPr>
                <w:rFonts w:ascii="TH Sarabun New" w:hAnsi="TH Sarabun New" w:cs="TH Sarabun New"/>
                <w:b/>
                <w:color w:val="FFFFFF"/>
                <w:sz w:val="30"/>
              </w:rPr>
              <w:t>บาดเจ็บรวม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กรมทางหลวง (ทล.)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22,377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2,539</w:t>
            </w:r>
          </w:p>
        </w:tc>
        <w:tc>
          <w:tcPr>
            <w:tcW w:type="dxa" w:w="158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2,640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18,469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กรมทางหลวงชนบท (ทช.)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757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239</w:t>
            </w:r>
          </w:p>
        </w:tc>
        <w:tc>
          <w:tcPr>
            <w:tcW w:type="dxa" w:w="158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168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691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การทางพิเศษ (ทางด่วน)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581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5</w:t>
            </w:r>
          </w:p>
        </w:tc>
        <w:tc>
          <w:tcPr>
            <w:tcW w:type="dxa" w:w="158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315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รวมโครงข่ายคมนาคม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23,715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2,783</w:t>
            </w:r>
          </w:p>
        </w:tc>
        <w:tc>
          <w:tcPr>
            <w:tcW w:type="dxa" w:w="1584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2,808</w:t>
            </w:r>
          </w:p>
        </w:tc>
        <w:tc>
          <w:tcPr>
            <w:tcW w:type="dxa" w:w="1440"/>
          </w:tcPr>
          <w:p>
            <w:r/>
            <w:r>
              <w:rPr>
                <w:rFonts w:ascii="TH Sarabun New" w:hAnsi="TH Sarabun New" w:cs="TH Sarabun New"/>
                <w:b w:val="0"/>
                <w:sz w:val="30"/>
              </w:rPr>
              <w:t>19,475</w:t>
            </w:r>
          </w:p>
        </w:tc>
      </w:tr>
    </w:tbl>
    <w:p>
      <w:pPr>
        <w:spacing w:after="80"/>
      </w:pPr>
    </w:p>
    <w:p>
      <w:pPr>
        <w:spacing w:after="120" w:line="240" w:lineRule="auto"/>
        <w:ind w:firstLine="720"/>
      </w:pPr>
      <w:r>
        <w:rPr>
          <w:rFonts w:ascii="TH Sarabun New" w:hAnsi="TH Sarabun New" w:cs="TH Sarabun New"/>
          <w:b w:val="0"/>
          <w:sz w:val="32"/>
        </w:rPr>
        <w:t>หมายเหตุสำคัญ ตัวเลขของกรมทางหลวงชนบท (757 อุบัติเหตุ 239 เสียชีวิต) ต่ำผิดสัดส่วนเทียบระยะทาง 51,296 กม. เพราะ ระบบรายงาน ARMS ของกรมทางหลวงชนบทครอบคลุมน้อยกว่าระบบ HAIMS ของกรมทางหลวงมาก จึงเป็นการรายงานต่ำกว่าจริง (under-reporting) มิใช่ว่าถนนของกรมทางหลวงชนบทปลอดภัยกว่า เมื่อพิจารณาความเข้มข้นต่อระยะทาง กรมทางหลวงมีผู้เสีย ชีวิตราว 48 คนต่อ 1,000 กิโลเมตร ซึ่งสูงที่สุด (ที่มา: MOT Data Catalog · อุบัติเหตุโครงข่ายคมนาคม 2568)</w:t>
      </w:r>
    </w:p>
    <w:p>
      <w:pPr>
        <w:spacing w:before="120" w:after="40"/>
      </w:pPr>
      <w:r>
        <w:rPr>
          <w:rFonts w:ascii="TH Sarabun New" w:hAnsi="TH Sarabun New" w:cs="TH Sarabun New"/>
          <w:b/>
          <w:color w:val="0B1E3F"/>
          <w:sz w:val="32"/>
        </w:rPr>
        <w:t>๔) ทำไมต้องเริ่มที่ “ทางแยก”</w:t>
      </w:r>
    </w:p>
    <w:p>
      <w:pPr>
        <w:spacing w:after="120" w:line="240" w:lineRule="auto"/>
        <w:ind w:firstLine="720"/>
      </w:pPr>
      <w:r>
        <w:rPr>
          <w:rFonts w:ascii="TH Sarabun New" w:hAnsi="TH Sarabun New" w:cs="TH Sarabun New"/>
          <w:b w:val="0"/>
          <w:sz w:val="32"/>
        </w:rPr>
        <w:t>ภายในโครงข่ายของกรมทางหลวงซึ่งรองรับความสูญเสียเข้มข้นและมีระบบข้อมูล HAIMS ดีที่สุด จุดที่กรมลงมือแก้ได้เองด้วยการ ควบคุมสัญญาณและเรขาคณิตคือ “ทางแยก” แม้บนทางหลวงสายหลักระหว่างเมืองอุบัติเหตุที่ทางแยกจะเป็นสัดส่วนน้อย (ส่วนใหญ่ เป็นอุบัติเหตุบนทางตรงจากความเร็ว) แต่บนถนนในเมืองสัดส่วนที่ทางแยกสูงเกินร้อยละ 50 และมาตรฐาน FHWA ของสหรัฐฯ ระบุ ว่าราวหนึ่งในสี่ของผู้เสียชีวิตและราวครึ่งหนึ่งของผู้บาดเจ็บเกิดที่ทางแยก ทางแยกจึงเป็นจุดที่ควบคุมได้ด้วยอำนาจดำเนินการของ กรม ต่างจากอุบัติเหตุบนทางตรงที่ขึ้นกับพฤติกรรมผู้ขับขี่ จึงเหมาะเป็นจุดตั้งต้นของการประยุกต์ปัญญาประดิษฐ์ ดังรายละเอียด ในหัวข้อถัดไป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๒.๒  สภาพปัญหาและความท้าทาย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ปัญหาจราจรที่ทางแยกบนโครงข่ายทางหลวงของกรมสามารถจำแนกได้เป็น ๕ ด้านหลัก ดังนี้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ความปลอดภัยที่ทางแยก — กว่าร้อยละ ๕๐ ของอุบัติเหตุทางถนนเกิดขึ้นที่ทางแยก ขณะที่กรอบทศวรรษแห่งความปลอดภัยทางถนนของ UN ตั้งเป้าลดผู้เสียชีวิตลงครึ่งหนึ่งภายในปี พ.ศ. ๒๕๗๓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ความคล่องตัวและประสิทธิภาพ — ทางแยกจำนวนมากยังใช้สัญญาณไฟแบบ Fixed-time หรือระบบ Two-way Stop Control (TWSC) ที่ให้บริการในระดับ LOS E–F ในชั่วโมงเร่งด่วน ขณะที่เทคโนโลยี Adaptive Traffic Control สามารถลดความล่าช้าได้ร้อยละ ๑๐–๔๐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ด้านสิ่งแวดล้อม — การจราจรติดขัดเพิ่มการปล่อยคาร์บอนและมลพิษ การใช้สัญญาณไฟอัจฉริยะสามารถลด CO₂ ได้ร้อยละ ๑๕–๔๐ และลดการสิ้นเปลืองเชื้อเพลิงได้ร้อยละ ๑๐–๑๕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การอยู่ร่วมกับประชาชน — ผู้ใช้ทางที่เปราะบาง (คนเดินเท้า มอเตอร์ไซค์ ผู้สูงอายุ) มีความเสี่ยงสูง โดยมอเตอร์ไซค์คิดเป็นราวร้อยละ ๘๔ ของผู้เสียชีวิตจากอุบัติเหตุทางถนนในประเทศไทย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การตัดสินใจที่ขาดข้อมูลเชิงระบบ — ยังขาดเครื่องมือประเมินผลเชิงปริมาณครบทุกมิติพร้อมกัน และขาดการจำลองสถานการณ์ก่อนการลงทุน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๒.๓  ความสอดคล้องเชิงยุทธศาสตร์และนโยบาย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ข้อเสนอนี้สอดคล้องกับยุทธศาสตร์และนโยบายในทุกระดับที่กำหนดไว้แล้ว ทั้งระดับชาติ ระดับกระทรวง และระดับกรม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ยุทธศาสตร์ชาติ ๒๐ ปี (พ.ศ. ๒๕๖๑–๒๕๘๐) ด้านการสร้างความสามารถในการแข่งขัน และการปรับสมดุลและพัฒนาระบบการบริหารจัดการภาครัฐ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แผนพัฒนาเศรษฐกิจและสังคมแห่งชาติ ฉบับที่ ๑๓ หมุดหมายที่ ๒ (โครงสร้างพื้นฐานคมนาคม) และหมุดหมายที่ ๑๓ (รัฐบาลที่ทันสมัย)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แผนพัฒนารัฐบาลดิจิทัลของประเทศไทย พ.ศ. ๒๕๖๖–๒๕๗๐ (DGA)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นโยบายกระทรวงคมนาคม “คมนาคมเพื่อโอกาสประเทศไทย” และนโยบายเร่งด่วนของรัฐบาล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แผนปฏิบัติราชการกรมทางหลวง พ.ศ. ๒๕๖๖–๒๕๗๐ และแผนปฏิบัติการดิจิทัลกรมทางหลวง พ.ศ. ๒๕๖๖–๒๕๗๐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แผนแม่บท MR-MAP ระยะ ๒๐ ปี และกรอบทศวรรษแห่งความปลอดภัยทางถนน พ.ศ. ๒๕๖๔–๒๕๗๓ ของ UN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พระราชบัญญัติคุ้มครองข้อมูลส่วนบุคคล และพระราชบัญญัติการรักษาความมั่นคงปลอดภัยไซเบอร์ พ.ศ. ๒๕๖๒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๓  กรอบแนวคิดและข้อเสนอเชิงนโยบาย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๓.๑  กรอบแนวคิด: AI สำหรับการแก้ปัญหาจราจรครบ ๔ มิติ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ผู้เสนอได้สังเคราะห์กรอบแนวคิดการประยุกต์ปัญญาประดิษฐ์กับงานวิศวกรรมจราจร โดยจัดวางเป็น ๔ มิติ ของจราจรที่มีประสิทธิภาพ ที่กรมจะดำเนินการพร้อมกันในทุกการปรับปรุงทางแยก หลักการสำคัญคือ ทุกการปรับปรุงทางแยกต้อง “ดีกว่าทุกมิติพร้อมกัน” โดยใช้ AI ประเมินทางเลือกอย่างเป็นวิทยาศาสตร์ และต้องผ่านการจำลองสถานการณ์ก่อนการลงทุนจริง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80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มิติ</w:t>
            </w:r>
          </w:p>
        </w:tc>
        <w:tc>
          <w:tcPr>
            <w:tcW w:type="dxa" w:w="410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เทคโนโลยี AI / เครื่องมือสนับสนุน</w:t>
            </w:r>
          </w:p>
        </w:tc>
        <w:tc>
          <w:tcPr>
            <w:tcW w:type="dxa" w:w="316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ตัวชี้วัดประจำมิติ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๑. ความคล่องตัว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(Efficiency)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Adaptive Traffic Control · Deep Reinforcement Learning · PTV VISSIM · พยากรณ์ปริมาณจราจรช่วงเทศกาล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LOS · Delay (วินาที/คัน) · v/c Ratio · เวลาเดินทางเฉลี่ย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๒. ความปลอดภัย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(Safety)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Computer Vision ตรวจจับจุดขัดแย้งและผู้ใช้ทางเปราะบาง · Surrogate Safety Measures · FHWA SSAM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จำนวนจุดขัดแย้ง · อัตราอุบัติเหตุ · TTC · PET · เป้า UN ลดผู้เสียชีวิตครึ่งหนึ่ง ปี ๒๕๗๓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๓. สิ่งแวดล้อม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(Environmental)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EPA MOVES · Eco-Adaptive Signal · ลดการเร่ง-เบรกซ้ำที่ทางแยก · ประเมินคาร์บอนตลอดวงจรชีวิต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CO₂ (กก./วัน) · การสิ้นเปลืองเชื้อเพลิง · NOx, PM · ดัชนีความยั่งยืน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๔. ประชาชน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(Community)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ออกแบบทางแยกคำนึงผู้ใช้ทางเปราะบาง · การมีส่วนร่วมผ่านสายด่วน ๑๕๘๖ · NLP วิเคราะห์ข้อร้องเรียน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ความพึงพอใจชุมชน · ความปลอดภัยคนเดินเท้า/มอเตอร์ไซค์ · จำนวนข้อร้องเรียน · คะแนนการมีส่วนร่วม</w:t>
            </w:r>
          </w:p>
        </w:tc>
      </w:tr>
    </w:tbl>
    <w:p>
      <w:pPr>
        <w:spacing w:after="80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๓.๒  ข้อเสนอเชิงนโยบาย ๕ เสาหลัก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๑ · บุคลากรวิศวกรรมจราจร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พัฒนาขีดความสามารถของวิศวกรจราจรของกรมในการใช้ PTV VISSIM, FHWA SSAM และ EPA MOVES ผ่านสถาบันพัฒนาบุคลากรกรมทางหลวงและความร่วมมือกับสถาบันการศึกษา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๒ · กระบวนงานออกแบบทางแยก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กำหนดให้ทุกโครงการปรับปรุงทางแยกต้องผ่านการประเมินครบ ๔ มิติ (MCDA) และจำลองสถานการณ์ด้วยเครื่องมือมาตรฐานก่อนการลงทุน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๓ · แพลตฟอร์มและข้อมูล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พัฒนาคลังข้อมูลจราจรของกรมจากระบบที่มีอยู่ (Roadnet, สำนักอำนวยความปลอดภัย, การสำรวจปริมาณจราจร) ผนวกข้อมูลสายด่วน ๑๕๘๖ และแอป Highway Traffic เพื่อสนับสนุนการตัดสินใจ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๔ · พันธมิตรทางวิชาการ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สร้างความร่วมมือกับ สวทช., NECTEC, สถาบันการศึกษา และองค์กรชั้นนำระดับโลก เช่น U.S. FHWA และ Transport for London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๕ · ธรรมาภิบาลและความปลอดภัย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จัดทำกรอบธรรมาภิบาล AI สอดคล้อง PDPA และ พ.ร.บ. ไซเบอร์ฯ พ.ศ. ๒๕๖๒ ยึดหลัก “วิศวกรเป็นผู้รับผิดชอบสุดท้าย” โดย AI เป็นเพียงเครื่องมือสนับสนุน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๔  แผนการนำไปสู่การปฏิบัติและกรอบงบประมาณ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๔.๑  แผนการนำนโยบายไปสู่การปฏิบัติ ๓ ระยะ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87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ระยะ</w:t>
            </w:r>
          </w:p>
        </w:tc>
        <w:tc>
          <w:tcPr>
            <w:tcW w:type="dxa" w:w="144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ช่วงเวลา</w:t>
            </w:r>
          </w:p>
        </w:tc>
        <w:tc>
          <w:tcPr>
            <w:tcW w:type="dxa" w:w="576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กิจกรรมหลักและหน่วยงานเจ้าภาพภายในกรม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๑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วางฐานราก</w:t>
            </w:r>
          </w:p>
        </w:tc>
        <w:tc>
          <w:tcPr>
            <w:tcW w:type="dxa" w:w="144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๐–๖ เดือน</w:t>
            </w:r>
          </w:p>
        </w:tc>
        <w:tc>
          <w:tcPr>
            <w:tcW w:type="dxa" w:w="576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จัดตั้งคณะทำงาน AI วิศวกรรมจราจร · กำหนดทางแยกวิกฤตจากข้อมูลอุบัติเหตุและสายด่วน ๑๕๘๖ · อบรม PTV VISSIM, FHWA SSAM, EPA MOVES ให้วิศวกรของกรม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๒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นำร่องและขยายผล</w:t>
            </w:r>
          </w:p>
        </w:tc>
        <w:tc>
          <w:tcPr>
            <w:tcW w:type="dxa" w:w="144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๖–๒๔ เดือน</w:t>
            </w:r>
          </w:p>
        </w:tc>
        <w:tc>
          <w:tcPr>
            <w:tcW w:type="dxa" w:w="576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ปรับปรุงทางแยกวิกฤต ๑๐–๒๐ แห่งด้วยกรอบ ๔ มิติ · นำร่อง Adaptive Traffic Control · นำร่อง Computer Vision บนทางหลวงพิเศษ M6/M81 · ติดตาม Before-After Study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๓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เป็นต้นแบบและยั่งยืน</w:t>
            </w:r>
          </w:p>
        </w:tc>
        <w:tc>
          <w:tcPr>
            <w:tcW w:type="dxa" w:w="144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๒๔–๖๐ เดือน</w:t>
            </w:r>
          </w:p>
        </w:tc>
        <w:tc>
          <w:tcPr>
            <w:tcW w:type="dxa" w:w="576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ขยาย ATC สู่ทางหลวงสายหลักทั่วประเทศ · พัฒนา Traffic Digital Twin · บูรณาการข้อมูลกับตำรวจจราจรและ กทม. · สร้างมาตรฐานการประเมินทางแยก ๔ มิติของกรม</w:t>
            </w:r>
          </w:p>
        </w:tc>
      </w:tr>
    </w:tbl>
    <w:p>
      <w:pPr>
        <w:spacing w:after="80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๔.๒  กรอบประมาณการงบประมาณเชิงทิศทาง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94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ระยะ</w:t>
            </w:r>
          </w:p>
        </w:tc>
        <w:tc>
          <w:tcPr>
            <w:tcW w:type="dxa" w:w="266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ประมาณการงบประมาณ</w:t>
            </w:r>
          </w:p>
        </w:tc>
        <w:tc>
          <w:tcPr>
            <w:tcW w:type="dxa" w:w="446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ขอบเขตหลัก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๑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(๐–๖ เดือน)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~๓.๓–๖.๐ ล้านบาท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ตั้งคณะทำงาน สำรวจข้อมูล ฝึกอบรม และจัดทำกรอบธรรมาภิบาล AI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๒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(๖–๒๔ เดือน)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~๑๓๐–๔๖๓ ล้านบาท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(ค่ากลาง ~๒๘๐ ลบ.)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ปรับปรุงทางแยกนำร่อง ๑๐–๒๐ แห่ง ระบบ Adaptive Signal และ Computer Vision รวมงานโยธา ไฟฟ้า สื่อสาร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๓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(๒๔–๖๐ เดือน)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~๔๘๕–๑,๔๒๐ ล้านบาท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(ค่ากลาง ~๘๐๐ ลบ.)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ขยาย ATC ทั่วประเทศ ศึกษา Digital Twin บูรณาการระหว่างหน่วยงาน รวม DPIA และตรวจความมั่นคงปลอดภัยไซเบอร์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รวม ๕ ปี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(ค่ากลางที่แนะนำ)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~๑,๒๐๐ ล้านบาท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(รวม VAT ๗% และ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Contingency ๑๐–๑๕%)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คิดเป็น ~ร้อยละ ๐.๒๔ ของงบประมาณกรม ๕ ปี (~๕๐๐,๐๐๐ ลบ.) และ ~ร้อยละ ๐.๒๐ ของแผนแม่บท MR-MAP ระยะ ๕ ปี</w:t>
            </w:r>
          </w:p>
        </w:tc>
      </w:tr>
    </w:tbl>
    <w:p>
      <w:pPr>
        <w:spacing w:after="80"/>
      </w:pP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/>
          <w:color w:val="B87A00"/>
          <w:sz w:val="29"/>
          <w:szCs w:val="29"/>
        </w:rPr>
        <w:t>หมายเหตุ: ตัวเลขข้างต้นเป็นการประมาณการเชิงทิศทางเพื่อประกอบการพิจารณาเชิงนโยบายเท่านั้น มิใช่งบประมาณที่ได้รับอนุมัติ การจัดสรรงบประมาณจริงต้องผ่านการศึกษาความเหมาะสมและขั้นตอนตามระเบียบ ของกรมทางหลวง กระทรวงคมนาคม สำนักงบประมาณ และคณะรัฐมนตรี โดยทยอยตั้งงบประมาณรายปีเฉลี่ยปีละ ประมาณ ๒๐๐–๓๐๐ ล้านบาท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๔.๓  เงื่อนไขสำคัญทางกฎหมายและระเบียบที่ต้องปฏิบัติ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244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เงื่อนไข</w:t>
            </w:r>
          </w:p>
        </w:tc>
        <w:tc>
          <w:tcPr>
            <w:tcW w:type="dxa" w:w="360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กรอบกฎหมาย/ระเบียบ</w:t>
            </w:r>
          </w:p>
        </w:tc>
        <w:tc>
          <w:tcPr>
            <w:tcW w:type="dxa" w:w="302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ผลต่อการดำเนินการ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การขอตั้งงบประมาณ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พ.ร.บ. วิธีการงบประมาณ พ.ศ. ๒๕๖๑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ใช้เวลา ~๑๒–๑๘ เดือน ต้องบรรจุในแผนปฏิบัติราชการล่วงหน้า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การจัดซื้อจัดจ้าง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พ.ร.บ. การจัดซื้อจัดจ้างฯ พ.ศ. ๒๕๖๐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ดำเนินการแบบ e-Bidding / e-Market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คลาวด์ภาครัฐ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นโยบาย Government Cloud และข้อกำหนด DGA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กระทบการเลือกผู้ให้บริการ อาจเพิ่มค่าใช้จ่าย ~ร้อยละ ๑๐–๒๐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คุ้มครองข้อมูลส่วนบุคคล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PDPA พ.ศ. ๒๕๖๒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ต้องจัดทำ DPIA และแต่งตั้ง DPO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ความมั่นคงปลอดภัยไซเบอร์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พ.ร.บ. ไซเบอร์ฯ ๒๕๖๒ · ISO/IEC 27001 · NIST CSF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ตรวจประเมินการเจาะระบบทุก ๖–๑๒ เดือน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การบูรณาการข้ามหน่วยงาน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MOU กับ สตช., กทม. และหน่วยงานที่เกี่ยวข้อง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ใช้เวลาเตรียมการ ~๓–๖ เดือน</w:t>
            </w:r>
          </w:p>
        </w:tc>
      </w:tr>
    </w:tbl>
    <w:p>
      <w:pPr>
        <w:spacing w:after="80"/>
      </w:pP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๕  ตัวอย่างการประยุกต์ใช้ (Use Case)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เพื่อแสดงความเป็นไปได้เชิงปฏิบัติ ผู้เสนออ้างอิงการศึกษาวิเคราะห์ทางแยกในรูปแบบ Digital Twin Traffic Intersection Analysis ที่ข้าราชการของกรมทางหลวงได้ดำเนินการและเผยแพร่สู่สาธารณะ (https://raikluay-intersection.pages.dev) ซึ่งประกอบด้วยองค์ประกอบที่สอดคล้องกับกรอบ ๔ มิติ ได้แก่ การจำลองสภาพจราจรเชิงจุลภาค การประเมินความปลอดภัยด้วย SSAM การประมาณการปล่อยก๊าซด้วย MOVES การประเมินผลกระทบทางเศรษฐกิจและสังคม และการเปรียบเทียบทางเลือกด้วย MCDA</w:t>
      </w:r>
    </w:p>
    <w:p>
      <w:pPr>
        <w:spacing w:before="8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ตัวอย่างผลการศึกษาเชิงประกอบ (เปรียบเทียบสภาพปัจจุบันกับทางเลือกปรับปรุงสัญญาณไฟ ๒ จังหวะ) แสดงให้เห็นศักยภาพของการปรับปรุงที่ดีขึ้นพร้อมกันทุกมิติ ดังนี้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172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มิติ</w:t>
            </w:r>
          </w:p>
        </w:tc>
        <w:tc>
          <w:tcPr>
            <w:tcW w:type="dxa" w:w="2736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สภาพปัจจุบัน (TWSC)</w:t>
            </w:r>
          </w:p>
        </w:tc>
        <w:tc>
          <w:tcPr>
            <w:tcW w:type="dxa" w:w="331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ทางเลือกที่ปรับปรุง</w:t>
            </w:r>
          </w:p>
        </w:tc>
        <w:tc>
          <w:tcPr>
            <w:tcW w:type="dxa" w:w="1296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เปลี่ยนแปลง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คล่องตัว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LOS F · delay 78 วินาที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LOS C · delay 28 วินาที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−64%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ปลอดภัย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อุบัติเหตุ 9.4 ครั้ง/ปี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ลดเหลือ ~5.6 ครั้ง/ปี · จุดขัดแย้ง −75%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−60%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สิ่งแวดล้อม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CO₂ 240 กก./วัน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CO₂ 120 กก./วัน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−50%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เศรษฐกิจ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(ฐาน)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ประหยัด ~฿800,000/ปี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+800k</w:t>
            </w:r>
          </w:p>
        </w:tc>
      </w:tr>
    </w:tbl>
    <w:p>
      <w:pPr>
        <w:spacing w:after="80"/>
      </w:pP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/>
          <w:color w:val="B87A00"/>
          <w:sz w:val="29"/>
          <w:szCs w:val="29"/>
        </w:rPr>
        <w:t>หมายเหตุ: ตัวเลขข้างต้นเป็นตัวอย่างเชิงประกอบเพื่อสื่อสารแนวคิด ผลลัพธ์จริงในแต่ละทางแยกย่อมแตกต่างกัน ตามบริบทพื้นที่ และต้องผ่านการศึกษาเฉพาะกรณีในรายละเอียดก่อนการดำเนินการจริง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๖  ตัวชี้วัด การบริหารความเสี่ยง และผลที่คาดว่าจะได้รับ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๖.๑  ตัวชี้วัดความสำเร็จเชิงทิศทาง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72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มิติ</w:t>
            </w:r>
          </w:p>
        </w:tc>
        <w:tc>
          <w:tcPr>
            <w:tcW w:type="dxa" w:w="475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ตัวชี้วัด</w:t>
            </w:r>
          </w:p>
        </w:tc>
        <w:tc>
          <w:tcPr>
            <w:tcW w:type="dxa" w:w="259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ทิศทาง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๑. คล่องตัว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ระดับการให้บริการ (LOS) และความล่าช้าเฉลี่ยที่ทางแยกที่ปรับปรุง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ยกระดับจาก LOS E–F สู่ LOS C–D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๒. ปลอดภัย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จำนวนผู้เสียชีวิตและจุดขัดแย้งที่ทางแยกในความรับผิดชอบ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มุ่งเป้า UN ลดผู้เสียชีวิตครึ่งหนึ่งในปี ๒๕๗๓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๓. สิ่งแวดล้อม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ปริมาณ CO₂ ที่ทางแยกที่ปรับปรุง (ประเมินตาม EPA MOVES)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ลดลงอย่างมีนัยสำคัญ สอดคล้องเป้า Net Zero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๔. ประชาชน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ความพึงพอใจชุมชน และข้อร้องเรียนผ่านสายด่วน ๑๕๘๖ ต่อทางแยก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ความพึงพอใจเพิ่ม · ข้อร้องเรียนลด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เศรษฐกิจ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ผลตอบแทนทางเศรษฐกิจ (Benefit-Cost Ratio)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ทุกโครงการต้องมีผลตอบแทนที่ชัดเจน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บุคลากร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สัดส่วนวิศวกรที่ผ่านการอบรม PTV VISSIM, FHWA SSAM, EPA MOVES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เพิ่มขึ้นต่อเนื่องทุกสำนักงานทางหลวง</w:t>
            </w:r>
          </w:p>
        </w:tc>
      </w:tr>
    </w:tbl>
    <w:p>
      <w:pPr>
        <w:spacing w:after="80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๖.๒  การบริหารความเสี่ยงและการบริหารการเปลี่ยนแปลง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ความเสี่ยงด้านคุณภาพข้อมูล — จัดทำบัญชีข้อมูลของกรมและกำหนดผู้รับผิดชอบข้อมูลในแต่ละสำนัก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ความเสี่ยงด้านความมั่นคงปลอดภัยไซเบอร์ — ใช้สถาปัตยกรรมความปลอดภัยตามมาตรฐานสากลและตรวจสอบสม่ำเสมอ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ความเสี่ยงจาก AI ให้คำตอบผิดพลาด — ยึดหลัก “มนุษย์เป็นผู้ตัดสินใจสุดท้าย” ในทุกการตัดสินใจสำคัญ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ความเสี่ยงด้านการต่อต้านการเปลี่ยนแปลง — ใช้การบริหารการเปลี่ยนแปลงเชิงระบบ เริ่มจากผู้สมัครใจ และสร้างผู้นำการเปลี่ยนแปลงในระดับสำนักและแขวงทางหลวง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๖.๓  ผลที่คาดว่าจะได้รับ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ข้อเสนอนี้คาดว่าจะช่วยให้กรมทางหลวงแก้ไขปัญหาจราจรที่ทางแยกได้อย่างเป็นระบบและครบทุกมิติ ทั้งความคล่องตัว ความปลอดภัย สิ่งแวดล้อม และการอยู่ร่วมกับประชาชน ช่วยให้ประเทศไทยเข้าใกล้เป้าหมาย การลดผู้เสียชีวิตจากอุบัติเหตุทางถนนครึ่งหนึ่งภายในปี พ.ศ. ๒๕๗๓ ลดการปล่อยก๊าซคาร์บอนไดออกไซด์ จากการจราจรอย่างมีนัยสำคัญ และสร้างความเชื่อมั่นของประชาชนต่อการบริหารงานของกรม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๗  บทสรุปและข้อเสนอแนะ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การประยุกต์ใช้ปัญญาประดิษฐ์ในงานวิศวกรรมจราจรของกรมทางหลวงภายใต้กรอบแนวคิด ๔ มิติ เป็นแนวทางที่สามารถดำเนินการได้จริงในบริบทของบุคลากรและเครื่องมือที่กรมและภาควิชาการใช้อยู่ในปัจจุบัน ความสำเร็จขึ้นอยู่กับความต่อเนื่องของนโยบายข้ามรัฐบาล ความพร้อมของบุคลากรในระดับสายงาน และความร่วมมือระหว่างหน่วยงาน โดยมีปลายทางที่ชัดเจนคือประโยชน์สุขของประชาชนผู้ใช้ทาง</w:t>
      </w:r>
    </w:p>
    <w:p>
      <w:pPr>
        <w:spacing w:before="200" w:after="120"/>
        <w:jc w:val="center"/>
        <w:shd w:val="clear" w:fill="FFF1CC"/>
        <w:pBdr>
          <w:top w:val="single" w:sz="6" w:space="6" w:color="FFB300"/>
          <w:bottom w:val="single" w:sz="6" w:space="6" w:color="FFB300"/>
          <w:left w:val="single" w:sz="6" w:space="6" w:color="FFB300"/>
          <w:right w:val="single" w:sz="6" w:space="6" w:color="FFB300"/>
        </w:pBdr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“ทุกทางแยกของกรมทางหลวงในยุคปัญญาประดิษฐ์ ต้องคล่องตัว ปลอดภัย เป็นมิตรกับสิ่งแวดล้อม และอยู่ร่วมกับประชาชนได้พร้อมกัน”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บรรณานุกรม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สำนักงานพัฒนารัฐบาลดิจิทัล (องค์การมหาชน). แผนพัฒนารัฐบาลดิจิทัลของประเทศไทย พ.ศ. ๒๕๖๖–๒๕๗๐.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[2]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กรมทางหลวง. แผนปฏิบัติราชการกรมทางหลวง พ.ศ. ๒๕๖๖–๒๕๗๐ และแผนปฏิบัติการดิจิทัลกรมทางหลวง พ.ศ. ๒๕๖๖–๒๕๗๐.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[3]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กรมทางหลวง. ระบบสารสนเทศโครงข่ายทางหลวง (Roadnet) และระบบของสำนักอำนวยความปลอดภัย.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[4]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กระทรวงคมนาคม. นโยบาย “คมนาคมเพื่อโอกาสประเทศไทย”.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[5]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กรมทางหลวง. แผนแม่บทการพัฒนาโครงข่ายทางหลวงพิเศษระหว่างเมือง (MR-MAP) ระยะ ๒๐ ปี.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[6]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World Health Organization. Global Plan for the Decade of Action for Road Safety 2021–2030.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[7]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United Nations. Decade of Action for Road Safety 2021–2030 (เป้าหมายลดผู้เสียชีวิตครึ่งหนึ่งภายในปี ค.ศ. 2030).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[8]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PTV Group. PTV VISSIM — Microscopic Traffic Simulation Software.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[9]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U.S. Federal Highway Administration (FHWA). Surrogate Safety Assessment Model (SSAM).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[10]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U.S. Environmental Protection Agency (EPA). MOVES — Motor Vehicle Emission Simulator.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[11]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Land Transport Authority (Singapore). Smart Mobility 2030 และระบบ CRUISE.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[12]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พระราชบัญญัติคุ้มครองข้อมูลส่วนบุคคล พ.ศ. ๒๕๖๒ และพระราชบัญญัติการรักษาความมั่นคงปลอดภัยไซเบอร์ พ.ศ. ๒๕๖๒.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[13]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พระราชบัญญัติการจัดซื้อจัดจ้างและการบริหารพัสดุภาครัฐ พ.ศ. ๒๕๖๐ และพระราชบัญญัติวิธีการงบประมาณ พ.ศ. ๒๕๖๑.</w:t>
      </w:r>
    </w:p>
    <w:sectPr w:rsidR="00FC693F" w:rsidRPr="0006063C" w:rsidSect="00034616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H Sarabun New" w:hAnsi="TH Sarabun New" w:cs="TH Sarabun New" w:eastAsia="TH Sarabun New"/>
        <w:b w:val="0"/>
        <w:i w:val="0"/>
        <w:color w:val="0B1E3F"/>
        <w:sz w:val="28"/>
        <w:szCs w:val="28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 w:eastAsia="TH Sarabun New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H Sarabun New" w:hAnsi="TH Sarabun New" w:cs="TH Sarabun New" w:eastAsia="TH Sarabun New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H Sarabun New" w:hAnsi="TH Sarabun New" w:cs="TH Sarabun New" w:eastAsia="TH Sarabun New"/>
      <w:b/>
      <w:bCs/>
      <w:color w:val="4F81BD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H Sarabun New" w:hAnsi="TH Sarabun New" w:cs="TH Sarabun New" w:eastAsia="TH Sarabun New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TH Sarabun New" w:hAnsi="TH Sarabun New" w:cs="TH Sarabun New" w:eastAsia="TH Sarabun New"/>
      <w:sz w:val="3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